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Document Retention and Destruction Policy</w:t>
      </w:r>
    </w:p>
    <w:p>
      <w:pPr>
        <w:spacing w:after="80"/>
      </w:pPr>
      <w:r>
        <w:rPr>
          <w:color w:val="2E1B4E"/>
          <w:sz w:val="24"/>
          <w:szCs w:val="24"/>
        </w:rPr>
        <w:t xml:space="preserve">[ORGANIZATION NAME] — a [STATE] nonprofit corporation</w:t>
      </w:r>
    </w:p>
    <w:p>
      <w:pPr>
        <w:pBdr>
          <w:bottom w:val="single" w:color="E6E1EF" w:sz="4" w:space="8"/>
        </w:pBdr>
        <w:spacing w:after="160"/>
      </w:pPr>
      <w:r>
        <w:rPr>
          <w:i/>
          <w:iCs/>
          <w:color w:val="6B6480"/>
          <w:sz w:val="20"/>
          <w:szCs w:val="20"/>
        </w:rPr>
        <w:t xml:space="preserve">This is a starting-point template for your organization to adapt, not legal advice. Replace every [BRACKETED] placeholder, tailor the retention schedule to your operations, and review the final policy with your attorney and CPA before adoption. Retention periods below reflect commonly accepted practice, but federal, state, grantor, and contractual requirements vary and change over time — confirm the rules that apply to you.</w:t>
      </w:r>
    </w:p>
    <w:p>
      <w:pPr>
        <w:spacing w:after="80" w:before="200"/>
      </w:pPr>
      <w:r>
        <w:rPr>
          <w:b/>
          <w:bCs/>
          <w:color w:val="2E1B4E"/>
          <w:sz w:val="26"/>
          <w:szCs w:val="26"/>
        </w:rPr>
        <w:t xml:space="preserve">1. Purpose</w:t>
      </w:r>
    </w:p>
    <w:p>
      <w:pPr>
        <w:spacing w:after="100"/>
      </w:pPr>
      <w:r>
        <w:rPr>
          <w:b/>
          <w:bCs/>
          <w:color w:val="7851A9"/>
        </w:rPr>
        <w:t xml:space="preserve">[ORGANIZATION NAME]</w:t>
      </w:r>
      <w:r>
        <w:t xml:space="preserve"> (the "Organization") is committed to the proper stewardship, retention, and timely destruction of its records. This Document Retention and Destruction Policy (the "Policy") establishes consistent standards for how long records are kept, how they are stored and protected, and how they are securely destroyed when no longer needed. A clear, consistently followed policy helps the Organization meet its legal and tax obligations, preserve important institutional and financial history, protect confidential and personal information, reduce the cost and risk of storing unnecessary records, and ensure that records are available when needed for audits, litigation, or government inquiries.</w:t>
      </w:r>
    </w:p>
    <w:p>
      <w:pPr>
        <w:spacing w:after="100"/>
      </w:pPr>
      <w:r>
        <w:t xml:space="preserve">The IRS Form 990 (Part VI, Governance) asks whether the Organization has adopted a written document retention and destruction policy, alongside related questions about a conflict-of-interest policy and a whistleblower policy. By adopting this Policy, the Organization can answer the document-retention question affirmatively and demonstrate sound governance and accountability to its directors, donors, grantors, and the public. Adopting the Policy is a recognized best practice; it is not itself a condition of federal tax exemption.</w:t>
      </w:r>
    </w:p>
    <w:p>
      <w:pPr>
        <w:spacing w:after="80" w:before="200"/>
      </w:pPr>
      <w:r>
        <w:rPr>
          <w:b/>
          <w:bCs/>
          <w:color w:val="2E1B4E"/>
          <w:sz w:val="26"/>
          <w:szCs w:val="26"/>
        </w:rPr>
        <w:t xml:space="preserve">2. Scope</w:t>
      </w:r>
    </w:p>
    <w:p>
      <w:pPr>
        <w:spacing w:after="100"/>
      </w:pPr>
      <w:r>
        <w:t xml:space="preserve">This Policy applies to all records created, received, or maintained by the Organization in the course of its activities, regardless of physical or electronic form. "Records" include, but are not limited to, paper documents, electronic files and databases, email and other messaging, spreadsheets, scanned images, photographs, audio and video recordings, website and social media content, accounting and payroll data, and backups of any of the foregoing.</w:t>
      </w:r>
    </w:p>
    <w:p>
      <w:pPr>
        <w:spacing w:after="100"/>
      </w:pPr>
      <w:r>
        <w:t xml:space="preserve">This Policy applies to all directors, officers, employees, volunteers, independent contractors, and agents of the Organization who handle the Organization's records (collectively, "Personnel"). All Personnel are responsible for following this Policy and for understanding that records may be subject to a legal hold as described in Section 6.</w:t>
      </w:r>
    </w:p>
    <w:p>
      <w:pPr>
        <w:spacing w:after="80" w:before="200"/>
      </w:pPr>
      <w:r>
        <w:rPr>
          <w:b/>
          <w:bCs/>
          <w:color w:val="2E1B4E"/>
          <w:sz w:val="26"/>
          <w:szCs w:val="26"/>
        </w:rPr>
        <w:t xml:space="preserve">3. Responsibility for Administration</w:t>
      </w:r>
    </w:p>
    <w:p>
      <w:pPr>
        <w:spacing w:after="100"/>
      </w:pPr>
      <w:r>
        <w:t xml:space="preserve">The </w:t>
      </w:r>
      <w:r>
        <w:rPr>
          <w:b/>
          <w:bCs/>
          <w:color w:val="7851A9"/>
        </w:rPr>
        <w:t xml:space="preserve">[TITLE — E.G., EXECUTIVE DIRECTOR / TREASURER / RECORDS MANAGER]</w:t>
      </w:r>
      <w:r>
        <w:t xml:space="preserve"> (the "Policy Administrator") is responsible for administering this Policy, maintaining the retention schedule, training Personnel, and overseeing the periodic, systematic review and destruction of records that have met their retention period. The Policy Administrator may delegate specific tasks but remains accountable for the Policy's implementation. Questions about whether a particular record may be destroyed should be directed to the Policy Administrator before any action is taken.</w:t>
      </w:r>
    </w:p>
    <w:p>
      <w:pPr>
        <w:spacing w:after="80" w:before="200"/>
      </w:pPr>
      <w:r>
        <w:rPr>
          <w:b/>
          <w:bCs/>
          <w:color w:val="2E1B4E"/>
          <w:sz w:val="26"/>
          <w:szCs w:val="26"/>
        </w:rPr>
        <w:t xml:space="preserve">4. Retention Schedule</w:t>
      </w:r>
    </w:p>
    <w:p>
      <w:pPr>
        <w:spacing w:after="100"/>
      </w:pPr>
      <w:r>
        <w:t xml:space="preserve">The Organization will retain records for at least the minimum periods set out in the table below. A retention period begins to run when the record is created, received, or finalized, unless the table specifies a different starting point (for example, "after termination" or "after grant close"). Where more than one period could apply to a record, the longer period governs. "Permanent" means the record should be retained for the life of the Organization and not routinely destroyed.</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Record type</w:t>
            </w:r>
          </w:p>
        </w:tc>
        <w:tc>
          <w:tcPr>
            <w:tcW w:type="pct" w:w="50%"/>
            <w:shd w:fill="EEE7F5" w:val="clear"/>
            <w:tcMar>
              <w:top w:type="dxa" w:w="60"/>
              <w:left w:type="dxa" w:w="100"/>
              <w:bottom w:type="dxa" w:w="60"/>
              <w:right w:type="dxa" w:w="100"/>
            </w:tcMar>
          </w:tcPr>
          <w:p>
            <w:r>
              <w:rPr>
                <w:b/>
                <w:bCs/>
                <w:color w:val="2E1B4E"/>
              </w:rPr>
              <w:t xml:space="preserve">Retention period</w:t>
            </w:r>
          </w:p>
        </w:tc>
      </w:tr>
      <w:tr>
        <w:tc>
          <w:tcPr>
            <w:tcW w:type="pct" w:w="50%"/>
            <w:tcMar>
              <w:top w:type="dxa" w:w="60"/>
              <w:left w:type="dxa" w:w="100"/>
              <w:bottom w:type="dxa" w:w="60"/>
              <w:right w:type="dxa" w:w="100"/>
            </w:tcMar>
          </w:tcPr>
          <w:p>
            <w:r>
              <w:t xml:space="preserve">Articles of incorporation, bylaws, and amendments; corporate charter and formation records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IRS determination letter and tax-exemption application (Form 1023 / 1023-EZ / 1024) with supporting documents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Board and committee meeting minutes and resolutions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Annual reports, state charitable registration filings, and licenses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Form 990 / 990-EZ / 990-PF / 990-N filings and other annual information and tax returns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Other tax filings (payroll tax returns, sales/use tax, unrelated business income tax / Form 990-T)</w:t>
            </w:r>
          </w:p>
        </w:tc>
        <w:tc>
          <w:tcPr>
            <w:tcW w:type="pct" w:w="50%"/>
            <w:tcMar>
              <w:top w:type="dxa" w:w="60"/>
              <w:left w:type="dxa" w:w="100"/>
              <w:bottom w:type="dxa" w:w="60"/>
              <w:right w:type="dxa" w:w="100"/>
            </w:tcMar>
          </w:tcPr>
          <w:p>
            <w:r>
              <w:t xml:space="preserve">7 years</w:t>
            </w:r>
          </w:p>
        </w:tc>
      </w:tr>
      <w:tr>
        <w:tc>
          <w:tcPr>
            <w:tcW w:type="pct" w:w="50%"/>
            <w:tcMar>
              <w:top w:type="dxa" w:w="60"/>
              <w:left w:type="dxa" w:w="100"/>
              <w:bottom w:type="dxa" w:w="60"/>
              <w:right w:type="dxa" w:w="100"/>
            </w:tcMar>
          </w:tcPr>
          <w:p>
            <w:r>
              <w:t xml:space="preserve">Independent audit reports and audited financial statements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General ledgers, year-end financial statements, and trial balances</w:t>
            </w:r>
          </w:p>
        </w:tc>
        <w:tc>
          <w:tcPr>
            <w:tcW w:type="pct" w:w="50%"/>
            <w:tcMar>
              <w:top w:type="dxa" w:w="60"/>
              <w:left w:type="dxa" w:w="100"/>
              <w:bottom w:type="dxa" w:w="60"/>
              <w:right w:type="dxa" w:w="100"/>
            </w:tcMar>
          </w:tcPr>
          <w:p>
            <w:r>
              <w:t xml:space="preserve">7 years (general ledgers commonly kept permanently)</w:t>
            </w:r>
          </w:p>
        </w:tc>
      </w:tr>
      <w:tr>
        <w:tc>
          <w:tcPr>
            <w:tcW w:type="pct" w:w="50%"/>
            <w:tcMar>
              <w:top w:type="dxa" w:w="60"/>
              <w:left w:type="dxa" w:w="100"/>
              <w:bottom w:type="dxa" w:w="60"/>
              <w:right w:type="dxa" w:w="100"/>
            </w:tcMar>
          </w:tcPr>
          <w:p>
            <w:r>
              <w:t xml:space="preserve">Bank statements, canceled checks, and account reconciliations</w:t>
            </w:r>
          </w:p>
        </w:tc>
        <w:tc>
          <w:tcPr>
            <w:tcW w:type="pct" w:w="50%"/>
            <w:tcMar>
              <w:top w:type="dxa" w:w="60"/>
              <w:left w:type="dxa" w:w="100"/>
              <w:bottom w:type="dxa" w:w="60"/>
              <w:right w:type="dxa" w:w="100"/>
            </w:tcMar>
          </w:tcPr>
          <w:p>
            <w:r>
              <w:t xml:space="preserve">7 years</w:t>
            </w:r>
          </w:p>
        </w:tc>
      </w:tr>
      <w:tr>
        <w:tc>
          <w:tcPr>
            <w:tcW w:type="pct" w:w="50%"/>
            <w:tcMar>
              <w:top w:type="dxa" w:w="60"/>
              <w:left w:type="dxa" w:w="100"/>
              <w:bottom w:type="dxa" w:w="60"/>
              <w:right w:type="dxa" w:w="100"/>
            </w:tcMar>
          </w:tcPr>
          <w:p>
            <w:r>
              <w:t xml:space="preserve">Accounts payable and accounts receivable records, invoices, and expense documentation</w:t>
            </w:r>
          </w:p>
        </w:tc>
        <w:tc>
          <w:tcPr>
            <w:tcW w:type="pct" w:w="50%"/>
            <w:tcMar>
              <w:top w:type="dxa" w:w="60"/>
              <w:left w:type="dxa" w:w="100"/>
              <w:bottom w:type="dxa" w:w="60"/>
              <w:right w:type="dxa" w:w="100"/>
            </w:tcMar>
          </w:tcPr>
          <w:p>
            <w:r>
              <w:t xml:space="preserve">7 years</w:t>
            </w:r>
          </w:p>
        </w:tc>
      </w:tr>
      <w:tr>
        <w:tc>
          <w:tcPr>
            <w:tcW w:type="pct" w:w="50%"/>
            <w:tcMar>
              <w:top w:type="dxa" w:w="60"/>
              <w:left w:type="dxa" w:w="100"/>
              <w:bottom w:type="dxa" w:w="60"/>
              <w:right w:type="dxa" w:w="100"/>
            </w:tcMar>
          </w:tcPr>
          <w:p>
            <w:r>
              <w:t xml:space="preserve">Investment records and brokerage statements</w:t>
            </w:r>
          </w:p>
        </w:tc>
        <w:tc>
          <w:tcPr>
            <w:tcW w:type="pct" w:w="50%"/>
            <w:tcMar>
              <w:top w:type="dxa" w:w="60"/>
              <w:left w:type="dxa" w:w="100"/>
              <w:bottom w:type="dxa" w:w="60"/>
              <w:right w:type="dxa" w:w="100"/>
            </w:tcMar>
          </w:tcPr>
          <w:p>
            <w:r>
              <w:t xml:space="preserve">7 years after the investment is sold or closed</w:t>
            </w:r>
          </w:p>
        </w:tc>
      </w:tr>
      <w:tr>
        <w:tc>
          <w:tcPr>
            <w:tcW w:type="pct" w:w="50%"/>
            <w:tcMar>
              <w:top w:type="dxa" w:w="60"/>
              <w:left w:type="dxa" w:w="100"/>
              <w:bottom w:type="dxa" w:w="60"/>
              <w:right w:type="dxa" w:w="100"/>
            </w:tcMar>
          </w:tcPr>
          <w:p>
            <w:r>
              <w:t xml:space="preserve">Grant agreements, applications, reports, and supporting financial records</w:t>
            </w:r>
          </w:p>
        </w:tc>
        <w:tc>
          <w:tcPr>
            <w:tcW w:type="pct" w:w="50%"/>
            <w:tcMar>
              <w:top w:type="dxa" w:w="60"/>
              <w:left w:type="dxa" w:w="100"/>
              <w:bottom w:type="dxa" w:w="60"/>
              <w:right w:type="dxa" w:w="100"/>
            </w:tcMar>
          </w:tcPr>
          <w:p>
            <w:r>
              <w:t xml:space="preserve">Per grant terms; commonly 7 years after grant close (or longer if the grantor requires)</w:t>
            </w:r>
          </w:p>
        </w:tc>
      </w:tr>
      <w:tr>
        <w:tc>
          <w:tcPr>
            <w:tcW w:type="pct" w:w="50%"/>
            <w:tcMar>
              <w:top w:type="dxa" w:w="60"/>
              <w:left w:type="dxa" w:w="100"/>
              <w:bottom w:type="dxa" w:w="60"/>
              <w:right w:type="dxa" w:w="100"/>
            </w:tcMar>
          </w:tcPr>
          <w:p>
            <w:r>
              <w:t xml:space="preserve">Contracts and related correspondence (other than real estate)</w:t>
            </w:r>
          </w:p>
        </w:tc>
        <w:tc>
          <w:tcPr>
            <w:tcW w:type="pct" w:w="50%"/>
            <w:tcMar>
              <w:top w:type="dxa" w:w="60"/>
              <w:left w:type="dxa" w:w="100"/>
              <w:bottom w:type="dxa" w:w="60"/>
              <w:right w:type="dxa" w:w="100"/>
            </w:tcMar>
          </w:tcPr>
          <w:p>
            <w:r>
              <w:t xml:space="preserve">7 years after expiration or termination</w:t>
            </w:r>
          </w:p>
        </w:tc>
      </w:tr>
      <w:tr>
        <w:tc>
          <w:tcPr>
            <w:tcW w:type="pct" w:w="50%"/>
            <w:tcMar>
              <w:top w:type="dxa" w:w="60"/>
              <w:left w:type="dxa" w:w="100"/>
              <w:bottom w:type="dxa" w:w="60"/>
              <w:right w:type="dxa" w:w="100"/>
            </w:tcMar>
          </w:tcPr>
          <w:p>
            <w:r>
              <w:t xml:space="preserve">Payroll records, time sheets, and wage/tax records</w:t>
            </w:r>
          </w:p>
        </w:tc>
        <w:tc>
          <w:tcPr>
            <w:tcW w:type="pct" w:w="50%"/>
            <w:tcMar>
              <w:top w:type="dxa" w:w="60"/>
              <w:left w:type="dxa" w:w="100"/>
              <w:bottom w:type="dxa" w:w="60"/>
              <w:right w:type="dxa" w:w="100"/>
            </w:tcMar>
          </w:tcPr>
          <w:p>
            <w:r>
              <w:t xml:space="preserve">7 years</w:t>
            </w:r>
          </w:p>
        </w:tc>
      </w:tr>
      <w:tr>
        <w:tc>
          <w:tcPr>
            <w:tcW w:type="pct" w:w="50%"/>
            <w:tcMar>
              <w:top w:type="dxa" w:w="60"/>
              <w:left w:type="dxa" w:w="100"/>
              <w:bottom w:type="dxa" w:w="60"/>
              <w:right w:type="dxa" w:w="100"/>
            </w:tcMar>
          </w:tcPr>
          <w:p>
            <w:r>
              <w:t xml:space="preserve">Employee personnel files (offer letters, evaluations, disciplinary records)</w:t>
            </w:r>
          </w:p>
        </w:tc>
        <w:tc>
          <w:tcPr>
            <w:tcW w:type="pct" w:w="50%"/>
            <w:tcMar>
              <w:top w:type="dxa" w:w="60"/>
              <w:left w:type="dxa" w:w="100"/>
              <w:bottom w:type="dxa" w:w="60"/>
              <w:right w:type="dxa" w:w="100"/>
            </w:tcMar>
          </w:tcPr>
          <w:p>
            <w:r>
              <w:t xml:space="preserve">7 years after termination of employment</w:t>
            </w:r>
          </w:p>
        </w:tc>
      </w:tr>
      <w:tr>
        <w:tc>
          <w:tcPr>
            <w:tcW w:type="pct" w:w="50%"/>
            <w:tcMar>
              <w:top w:type="dxa" w:w="60"/>
              <w:left w:type="dxa" w:w="100"/>
              <w:bottom w:type="dxa" w:w="60"/>
              <w:right w:type="dxa" w:w="100"/>
            </w:tcMar>
          </w:tcPr>
          <w:p>
            <w:r>
              <w:t xml:space="preserve">Form I-9 (Employment Eligibility Verification)</w:t>
            </w:r>
          </w:p>
        </w:tc>
        <w:tc>
          <w:tcPr>
            <w:tcW w:type="pct" w:w="50%"/>
            <w:tcMar>
              <w:top w:type="dxa" w:w="60"/>
              <w:left w:type="dxa" w:w="100"/>
              <w:bottom w:type="dxa" w:w="60"/>
              <w:right w:type="dxa" w:w="100"/>
            </w:tcMar>
          </w:tcPr>
          <w:p>
            <w:r>
              <w:t xml:space="preserve">Later of 3 years after date of hire or 1 year after termination of employment</w:t>
            </w:r>
          </w:p>
        </w:tc>
      </w:tr>
      <w:tr>
        <w:tc>
          <w:tcPr>
            <w:tcW w:type="pct" w:w="50%"/>
            <w:tcMar>
              <w:top w:type="dxa" w:w="60"/>
              <w:left w:type="dxa" w:w="100"/>
              <w:bottom w:type="dxa" w:w="60"/>
              <w:right w:type="dxa" w:w="100"/>
            </w:tcMar>
          </w:tcPr>
          <w:p>
            <w:r>
              <w:t xml:space="preserve">Independent-contractor agreements and Form 1099-NEC / 1099-MISC records</w:t>
            </w:r>
          </w:p>
        </w:tc>
        <w:tc>
          <w:tcPr>
            <w:tcW w:type="pct" w:w="50%"/>
            <w:tcMar>
              <w:top w:type="dxa" w:w="60"/>
              <w:left w:type="dxa" w:w="100"/>
              <w:bottom w:type="dxa" w:w="60"/>
              <w:right w:type="dxa" w:w="100"/>
            </w:tcMar>
          </w:tcPr>
          <w:p>
            <w:r>
              <w:t xml:space="preserve">7 years</w:t>
            </w:r>
          </w:p>
        </w:tc>
      </w:tr>
      <w:tr>
        <w:tc>
          <w:tcPr>
            <w:tcW w:type="pct" w:w="50%"/>
            <w:tcMar>
              <w:top w:type="dxa" w:w="60"/>
              <w:left w:type="dxa" w:w="100"/>
              <w:bottom w:type="dxa" w:w="60"/>
              <w:right w:type="dxa" w:w="100"/>
            </w:tcMar>
          </w:tcPr>
          <w:p>
            <w:r>
              <w:t xml:space="preserve">Benefit plan, retirement plan, and ERISA-covered records</w:t>
            </w:r>
          </w:p>
        </w:tc>
        <w:tc>
          <w:tcPr>
            <w:tcW w:type="pct" w:w="50%"/>
            <w:tcMar>
              <w:top w:type="dxa" w:w="60"/>
              <w:left w:type="dxa" w:w="100"/>
              <w:bottom w:type="dxa" w:w="60"/>
              <w:right w:type="dxa" w:w="100"/>
            </w:tcMar>
          </w:tcPr>
          <w:p>
            <w:r>
              <w:t xml:space="preserve">Plan documents and participant benefit records: retain as long as relevant to determining a participant's benefits (often indefinitely). Form 5500 and supporting records: at least 6 years after filing. Confirm with plan counsel.</w:t>
            </w:r>
          </w:p>
        </w:tc>
      </w:tr>
      <w:tr>
        <w:tc>
          <w:tcPr>
            <w:tcW w:type="pct" w:w="50%"/>
            <w:tcMar>
              <w:top w:type="dxa" w:w="60"/>
              <w:left w:type="dxa" w:w="100"/>
              <w:bottom w:type="dxa" w:w="60"/>
              <w:right w:type="dxa" w:w="100"/>
            </w:tcMar>
          </w:tcPr>
          <w:p>
            <w:r>
              <w:t xml:space="preserve">OSHA injury and illness records (Forms 300, 300A, 301)</w:t>
            </w:r>
          </w:p>
        </w:tc>
        <w:tc>
          <w:tcPr>
            <w:tcW w:type="pct" w:w="50%"/>
            <w:tcMar>
              <w:top w:type="dxa" w:w="60"/>
              <w:left w:type="dxa" w:w="100"/>
              <w:bottom w:type="dxa" w:w="60"/>
              <w:right w:type="dxa" w:w="100"/>
            </w:tcMar>
          </w:tcPr>
          <w:p>
            <w:r>
              <w:t xml:space="preserve">5 years following the end of the calendar year the records cover</w:t>
            </w:r>
          </w:p>
        </w:tc>
      </w:tr>
      <w:tr>
        <w:tc>
          <w:tcPr>
            <w:tcW w:type="pct" w:w="50%"/>
            <w:tcMar>
              <w:top w:type="dxa" w:w="60"/>
              <w:left w:type="dxa" w:w="100"/>
              <w:bottom w:type="dxa" w:w="60"/>
              <w:right w:type="dxa" w:w="100"/>
            </w:tcMar>
          </w:tcPr>
          <w:p>
            <w:r>
              <w:t xml:space="preserve">Employee medical and toxic/hazardous exposure records (29 CFR 1910.1020)</w:t>
            </w:r>
          </w:p>
        </w:tc>
        <w:tc>
          <w:tcPr>
            <w:tcW w:type="pct" w:w="50%"/>
            <w:tcMar>
              <w:top w:type="dxa" w:w="60"/>
              <w:left w:type="dxa" w:w="100"/>
              <w:bottom w:type="dxa" w:w="60"/>
              <w:right w:type="dxa" w:w="100"/>
            </w:tcMar>
          </w:tcPr>
          <w:p>
            <w:r>
              <w:t xml:space="preserve">Duration of employment plus 30 years (where this OSHA standard applies)</w:t>
            </w:r>
          </w:p>
        </w:tc>
      </w:tr>
      <w:tr>
        <w:tc>
          <w:tcPr>
            <w:tcW w:type="pct" w:w="50%"/>
            <w:tcMar>
              <w:top w:type="dxa" w:w="60"/>
              <w:left w:type="dxa" w:w="100"/>
              <w:bottom w:type="dxa" w:w="60"/>
              <w:right w:type="dxa" w:w="100"/>
            </w:tcMar>
          </w:tcPr>
          <w:p>
            <w:r>
              <w:t xml:space="preserve">Workers' compensation records</w:t>
            </w:r>
          </w:p>
        </w:tc>
        <w:tc>
          <w:tcPr>
            <w:tcW w:type="pct" w:w="50%"/>
            <w:tcMar>
              <w:top w:type="dxa" w:w="60"/>
              <w:left w:type="dxa" w:w="100"/>
              <w:bottom w:type="dxa" w:w="60"/>
              <w:right w:type="dxa" w:w="100"/>
            </w:tcMar>
          </w:tcPr>
          <w:p>
            <w:r>
              <w:t xml:space="preserve">Per applicable state law (confirm your state's requirement; commonly several years)</w:t>
            </w:r>
          </w:p>
        </w:tc>
      </w:tr>
      <w:tr>
        <w:tc>
          <w:tcPr>
            <w:tcW w:type="pct" w:w="50%"/>
            <w:tcMar>
              <w:top w:type="dxa" w:w="60"/>
              <w:left w:type="dxa" w:w="100"/>
              <w:bottom w:type="dxa" w:w="60"/>
              <w:right w:type="dxa" w:w="100"/>
            </w:tcMar>
          </w:tcPr>
          <w:p>
            <w:r>
              <w:t xml:space="preserve">Donor records, pledge documentation, and written gift acknowledgments</w:t>
            </w:r>
          </w:p>
        </w:tc>
        <w:tc>
          <w:tcPr>
            <w:tcW w:type="pct" w:w="50%"/>
            <w:tcMar>
              <w:top w:type="dxa" w:w="60"/>
              <w:left w:type="dxa" w:w="100"/>
              <w:bottom w:type="dxa" w:w="60"/>
              <w:right w:type="dxa" w:w="100"/>
            </w:tcMar>
          </w:tcPr>
          <w:p>
            <w:r>
              <w:t xml:space="preserve">7 years</w:t>
            </w:r>
          </w:p>
        </w:tc>
      </w:tr>
      <w:tr>
        <w:tc>
          <w:tcPr>
            <w:tcW w:type="pct" w:w="50%"/>
            <w:tcMar>
              <w:top w:type="dxa" w:w="60"/>
              <w:left w:type="dxa" w:w="100"/>
              <w:bottom w:type="dxa" w:w="60"/>
              <w:right w:type="dxa" w:w="100"/>
            </w:tcMar>
          </w:tcPr>
          <w:p>
            <w:r>
              <w:t xml:space="preserve">Records of restricted, endowment, and planned gifts (gift instruments, donor restrictions)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Insurance policies (general liability, D&amp;O, property, etc.)</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Real estate, property, and equipment records (deeds, titles, leases, appraisals)</w:t>
            </w:r>
          </w:p>
        </w:tc>
        <w:tc>
          <w:tcPr>
            <w:tcW w:type="pct" w:w="50%"/>
            <w:tcMar>
              <w:top w:type="dxa" w:w="60"/>
              <w:left w:type="dxa" w:w="100"/>
              <w:bottom w:type="dxa" w:w="60"/>
              <w:right w:type="dxa" w:w="100"/>
            </w:tcMar>
          </w:tcPr>
          <w:p>
            <w:r>
              <w:t xml:space="preserve">Permanent (or while owned plus 7 years after disposition for supporting tax records)</w:t>
            </w:r>
          </w:p>
        </w:tc>
      </w:tr>
      <w:tr>
        <w:tc>
          <w:tcPr>
            <w:tcW w:type="pct" w:w="50%"/>
            <w:tcMar>
              <w:top w:type="dxa" w:w="60"/>
              <w:left w:type="dxa" w:w="100"/>
              <w:bottom w:type="dxa" w:w="60"/>
              <w:right w:type="dxa" w:w="100"/>
            </w:tcMar>
          </w:tcPr>
          <w:p>
            <w:r>
              <w:t xml:space="preserve">Intellectual property records (trademarks, copyrights)</w:t>
            </w:r>
          </w:p>
        </w:tc>
        <w:tc>
          <w:tcPr>
            <w:tcW w:type="pct" w:w="50%"/>
            <w:tcMar>
              <w:top w:type="dxa" w:w="60"/>
              <w:left w:type="dxa" w:w="100"/>
              <w:bottom w:type="dxa" w:w="60"/>
              <w:right w:type="dxa" w:w="100"/>
            </w:tcMar>
          </w:tcPr>
          <w:p>
            <w:r>
              <w:t xml:space="preserve">Permanent</w:t>
            </w:r>
          </w:p>
        </w:tc>
      </w:tr>
      <w:tr>
        <w:tc>
          <w:tcPr>
            <w:tcW w:type="pct" w:w="50%"/>
            <w:tcMar>
              <w:top w:type="dxa" w:w="60"/>
              <w:left w:type="dxa" w:w="100"/>
              <w:bottom w:type="dxa" w:w="60"/>
              <w:right w:type="dxa" w:w="100"/>
            </w:tcMar>
          </w:tcPr>
          <w:p>
            <w:r>
              <w:t xml:space="preserve">General correspondence and administrative email of no lasting value</w:t>
            </w:r>
          </w:p>
        </w:tc>
        <w:tc>
          <w:tcPr>
            <w:tcW w:type="pct" w:w="50%"/>
            <w:tcMar>
              <w:top w:type="dxa" w:w="60"/>
              <w:left w:type="dxa" w:w="100"/>
              <w:bottom w:type="dxa" w:w="60"/>
              <w:right w:type="dxa" w:w="100"/>
            </w:tcMar>
          </w:tcPr>
          <w:p>
            <w:r>
              <w:rPr>
                <w:b/>
                <w:bCs/>
                <w:color w:val="7851A9"/>
              </w:rPr>
              <w:t xml:space="preserve">[X]</w:t>
            </w:r>
            <w:r>
              <w:t xml:space="preserve"> years (e.g., 1–3 years)</w:t>
            </w:r>
          </w:p>
        </w:tc>
      </w:tr>
      <w:tr>
        <w:tc>
          <w:tcPr>
            <w:tcW w:type="pct" w:w="50%"/>
            <w:tcMar>
              <w:top w:type="dxa" w:w="60"/>
              <w:left w:type="dxa" w:w="100"/>
              <w:bottom w:type="dxa" w:w="60"/>
              <w:right w:type="dxa" w:w="100"/>
            </w:tcMar>
          </w:tcPr>
          <w:p>
            <w:r>
              <w:t xml:space="preserve">IT system logs and routine operational records</w:t>
            </w:r>
          </w:p>
        </w:tc>
        <w:tc>
          <w:tcPr>
            <w:tcW w:type="pct" w:w="50%"/>
            <w:tcMar>
              <w:top w:type="dxa" w:w="60"/>
              <w:left w:type="dxa" w:w="100"/>
              <w:bottom w:type="dxa" w:w="60"/>
              <w:right w:type="dxa" w:w="100"/>
            </w:tcMar>
          </w:tcPr>
          <w:p>
            <w:r>
              <w:rPr>
                <w:b/>
                <w:bCs/>
                <w:color w:val="7851A9"/>
              </w:rPr>
              <w:t xml:space="preserve">[X]</w:t>
            </w:r>
            <w:r>
              <w:t xml:space="preserve"> years per IT practice</w:t>
            </w:r>
          </w:p>
        </w:tc>
      </w:tr>
    </w:tbl>
    <w:p>
      <w:pPr>
        <w:spacing w:after="120"/>
      </w:pPr>
    </w:p>
    <w:p>
      <w:pPr>
        <w:spacing w:after="100" w:before="80"/>
      </w:pPr>
      <w:r>
        <w:rPr>
          <w:i/>
          <w:iCs/>
          <w:color w:val="6B6480"/>
          <w:sz w:val="18"/>
          <w:szCs w:val="18"/>
        </w:rPr>
        <w:t xml:space="preserve">The periods above are general guidance, not legal advice. Required retention periods are set by a mix of federal law, state law, grantor and contract terms, and your insurer or auditor — and they change. Some IRS records (for example, those tied to property basis, depreciation, or loss/credit carryforwards) must be kept well beyond seven years — generally until the limitations period for the return that relies on them expires. Confirm the periods that apply to your organization with qualified legal counsel and your CPA, and do not shorten any period below what law or contract requires.</w:t>
      </w:r>
    </w:p>
    <w:p>
      <w:pPr>
        <w:spacing w:after="80" w:before="200"/>
      </w:pPr>
      <w:r>
        <w:rPr>
          <w:b/>
          <w:bCs/>
          <w:color w:val="2E1B4E"/>
          <w:sz w:val="26"/>
          <w:szCs w:val="26"/>
        </w:rPr>
        <w:t xml:space="preserve">5. Electronic Records and Backups</w:t>
      </w:r>
    </w:p>
    <w:p>
      <w:pPr>
        <w:spacing w:after="100"/>
      </w:pPr>
      <w:r>
        <w:t xml:space="preserve">Electronic records are subject to the same retention periods as their paper equivalents. The form of a record (paper, scanned image, email, database entry, or cloud file) does not change how long it must be kept. Where the Organization maintains an authoritative electronic copy of a record, it may, consistent with applicable law and grantor requirements, destroy the duplicate paper original — provided the electronic copy is accurate, complete, accessible, and reproducible for the full retention period.</w:t>
      </w:r>
    </w:p>
    <w:p>
      <w:pPr>
        <w:pStyle w:val="ListParagraph"/>
        <w:numPr>
          <w:ilvl w:val="0"/>
          <w:numId w:val="1"/>
        </w:numPr>
        <w:spacing w:after="40"/>
      </w:pPr>
      <w:r>
        <w:t xml:space="preserve">Email is a record, not a separate category. An email is retained for as long as its content requires under the retention schedule; routine email of no lasting value may be deleted per the schedule, except when a legal hold applies.</w:t>
      </w:r>
    </w:p>
    <w:p>
      <w:pPr>
        <w:pStyle w:val="ListParagraph"/>
        <w:numPr>
          <w:ilvl w:val="0"/>
          <w:numId w:val="1"/>
        </w:numPr>
        <w:spacing w:after="40"/>
      </w:pPr>
      <w:r>
        <w:t xml:space="preserve">Backups exist for disaster recovery and business continuity, not as the system of record. Routine backup media may be overwritten or recycled on the Organization's normal backup rotation </w:t>
      </w:r>
      <w:r>
        <w:rPr>
          <w:b/>
          <w:bCs/>
          <w:color w:val="7851A9"/>
        </w:rPr>
        <w:t xml:space="preserve">[E.G., DAILY/WEEKLY/MONTHLY]</w:t>
      </w:r>
      <w:r>
        <w:t xml:space="preserve">, unless a legal hold requires their preservation.</w:t>
      </w:r>
    </w:p>
    <w:p>
      <w:pPr>
        <w:pStyle w:val="ListParagraph"/>
        <w:numPr>
          <w:ilvl w:val="0"/>
          <w:numId w:val="1"/>
        </w:numPr>
        <w:spacing w:after="40"/>
      </w:pPr>
      <w:r>
        <w:t xml:space="preserve">Electronic records must be stored so they remain readable and retrievable for their full retention period, including planning for changes in software, file formats, and storage media (format migration).</w:t>
      </w:r>
    </w:p>
    <w:p>
      <w:pPr>
        <w:pStyle w:val="ListParagraph"/>
        <w:numPr>
          <w:ilvl w:val="0"/>
          <w:numId w:val="1"/>
        </w:numPr>
        <w:spacing w:after="40"/>
      </w:pPr>
      <w:r>
        <w:t xml:space="preserve">Access to confidential and personal information (donor data, payroll, personnel, and any health or financial information) must be restricted to authorized Personnel, and such records must be protected by appropriate security measures.</w:t>
      </w:r>
    </w:p>
    <w:p>
      <w:pPr>
        <w:pStyle w:val="ListParagraph"/>
        <w:numPr>
          <w:ilvl w:val="0"/>
          <w:numId w:val="1"/>
        </w:numPr>
        <w:spacing w:after="40"/>
      </w:pPr>
      <w:r>
        <w:t xml:space="preserve">When electronic records reach the end of their retention period and are not under a legal hold, they must be destroyed in a manner that renders them unrecoverable (for example, secure deletion or wiping), including copies residing on individual devices and in cloud storage to the extent feasible.</w:t>
      </w:r>
    </w:p>
    <w:p>
      <w:pPr>
        <w:spacing w:after="80" w:before="200"/>
      </w:pPr>
      <w:r>
        <w:rPr>
          <w:b/>
          <w:bCs/>
          <w:color w:val="2E1B4E"/>
          <w:sz w:val="26"/>
          <w:szCs w:val="26"/>
        </w:rPr>
        <w:t xml:space="preserve">6. Legal Hold — Suspension of Destruction</w:t>
      </w:r>
    </w:p>
    <w:p>
      <w:pPr>
        <w:spacing w:after="100"/>
      </w:pPr>
      <w:r>
        <w:t xml:space="preserve">Destruction of records must STOP immediately when litigation, an audit, a government investigation, or any other legal or regulatory proceeding is pending, threatened, or reasonably anticipated. The duty to preserve relevant records arises as soon as such a matter is reasonably foreseeable — it does not wait for a subpoena, complaint, or formal demand. Destroying records that are relevant to an anticipated or pending matter can result in serious legal consequences, including court sanctions, adverse inferences, and potential criminal liability for obstruction of justice.</w:t>
      </w:r>
    </w:p>
    <w:p>
      <w:pPr>
        <w:spacing w:after="100"/>
      </w:pPr>
      <w:r>
        <w:t xml:space="preserve">When the Policy Administrator, an officer, or legal counsel becomes aware of any such matter, the Organization will issue a written "legal hold" identifying the records to be preserved. The legal hold overrides the routine retention schedule and any automated deletion or backup-recycling process.</w:t>
      </w:r>
    </w:p>
    <w:p>
      <w:pPr>
        <w:pStyle w:val="ListParagraph"/>
        <w:numPr>
          <w:ilvl w:val="0"/>
          <w:numId w:val="1"/>
        </w:numPr>
        <w:spacing w:after="40"/>
      </w:pPr>
      <w:r>
        <w:t xml:space="preserve">Any Personnel who learns of pending or reasonably anticipated litigation, a government inquiry, an audit, or a subpoena must promptly notify the Policy Administrator and </w:t>
      </w:r>
      <w:r>
        <w:rPr>
          <w:b/>
          <w:bCs/>
          <w:color w:val="7851A9"/>
        </w:rPr>
        <w:t xml:space="preserve">[LEGAL COUNSEL / DESIGNATED OFFICER]</w:t>
      </w:r>
      <w:r>
        <w:t xml:space="preserve">.</w:t>
      </w:r>
    </w:p>
    <w:p>
      <w:pPr>
        <w:pStyle w:val="ListParagraph"/>
        <w:numPr>
          <w:ilvl w:val="0"/>
          <w:numId w:val="1"/>
        </w:numPr>
        <w:spacing w:after="40"/>
      </w:pPr>
      <w:r>
        <w:t xml:space="preserve">Upon notice, the Policy Administrator will suspend the scheduled destruction of all potentially relevant records — paper and electronic, including email, backups, and records on personal or mobile devices — and notify affected Personnel in writing.</w:t>
      </w:r>
    </w:p>
    <w:p>
      <w:pPr>
        <w:pStyle w:val="ListParagraph"/>
        <w:numPr>
          <w:ilvl w:val="0"/>
          <w:numId w:val="1"/>
        </w:numPr>
        <w:spacing w:after="40"/>
      </w:pPr>
      <w:r>
        <w:t xml:space="preserve">Personnel subject to a legal hold must not alter, delete, discard, or destroy any potentially relevant record, and must take reasonable steps to preserve it, until the hold is lifted in writing.</w:t>
      </w:r>
    </w:p>
    <w:p>
      <w:pPr>
        <w:pStyle w:val="ListParagraph"/>
        <w:numPr>
          <w:ilvl w:val="0"/>
          <w:numId w:val="1"/>
        </w:numPr>
        <w:spacing w:after="40"/>
      </w:pPr>
      <w:r>
        <w:t xml:space="preserve">The legal hold remains in effect until the Policy Administrator, in consultation with legal counsel, confirms in writing that the matter is concluded and routine retention and destruction may resume.</w:t>
      </w:r>
    </w:p>
    <w:p>
      <w:pPr>
        <w:spacing w:after="80" w:before="200"/>
      </w:pPr>
      <w:r>
        <w:rPr>
          <w:b/>
          <w:bCs/>
          <w:color w:val="2E1B4E"/>
          <w:sz w:val="26"/>
          <w:szCs w:val="26"/>
        </w:rPr>
        <w:t xml:space="preserve">7. Destruction of Records</w:t>
      </w:r>
    </w:p>
    <w:p>
      <w:pPr>
        <w:spacing w:after="100"/>
      </w:pPr>
      <w:r>
        <w:t xml:space="preserve">On a regular, systematic basis — at least </w:t>
      </w:r>
      <w:r>
        <w:rPr>
          <w:b/>
          <w:bCs/>
          <w:color w:val="7851A9"/>
        </w:rPr>
        <w:t xml:space="preserve">[ANNUALLY]</w:t>
      </w:r>
      <w:r>
        <w:t xml:space="preserve"> — the Policy Administrator will review records that have reached the end of their retention period and arrange for their secure destruction, provided no legal hold applies. Destruction must be carried out in a way that protects any confidential or personal information.</w:t>
      </w:r>
    </w:p>
    <w:p>
      <w:pPr>
        <w:pStyle w:val="ListParagraph"/>
        <w:numPr>
          <w:ilvl w:val="0"/>
          <w:numId w:val="1"/>
        </w:numPr>
        <w:spacing w:after="40"/>
      </w:pPr>
      <w:r>
        <w:t xml:space="preserve">Paper records containing confidential, financial, personnel, donor, or other sensitive information must be shredded or otherwise rendered unreadable; non-sensitive paper may be recycled.</w:t>
      </w:r>
    </w:p>
    <w:p>
      <w:pPr>
        <w:pStyle w:val="ListParagraph"/>
        <w:numPr>
          <w:ilvl w:val="0"/>
          <w:numId w:val="1"/>
        </w:numPr>
        <w:spacing w:after="40"/>
      </w:pPr>
      <w:r>
        <w:t xml:space="preserve">Electronic records must be permanently deleted or wiped so they cannot be reconstructed.</w:t>
      </w:r>
    </w:p>
    <w:p>
      <w:pPr>
        <w:pStyle w:val="ListParagraph"/>
        <w:numPr>
          <w:ilvl w:val="0"/>
          <w:numId w:val="1"/>
        </w:numPr>
        <w:spacing w:after="40"/>
      </w:pPr>
      <w:r>
        <w:t xml:space="preserve">Where a third-party vendor performs destruction, the Organization should obtain a certificate of destruction and ensure the vendor is bound to appropriate confidentiality and security standards.</w:t>
      </w:r>
    </w:p>
    <w:p>
      <w:pPr>
        <w:pStyle w:val="ListParagraph"/>
        <w:numPr>
          <w:ilvl w:val="0"/>
          <w:numId w:val="1"/>
        </w:numPr>
        <w:spacing w:after="40"/>
      </w:pPr>
      <w:r>
        <w:t xml:space="preserve">The Policy Administrator should maintain a brief log of destruction activities (categories of records destroyed, date, and method) as evidence that destruction occurred in the ordinary course under this Policy.</w:t>
      </w:r>
    </w:p>
    <w:p>
      <w:pPr>
        <w:spacing w:after="80" w:before="200"/>
      </w:pPr>
      <w:r>
        <w:rPr>
          <w:b/>
          <w:bCs/>
          <w:color w:val="2E1B4E"/>
          <w:sz w:val="26"/>
          <w:szCs w:val="26"/>
        </w:rPr>
        <w:t xml:space="preserve">8. Donor and Gift Substantiation Records</w:t>
      </w:r>
    </w:p>
    <w:p>
      <w:pPr>
        <w:spacing w:after="100"/>
      </w:pPr>
      <w:r>
        <w:t xml:space="preserve">Because contemporaneous written acknowledgments and other gift records protect both the Organization and its donors, the Organization will retain donor and gift-substantiation records for at least 7 years (and permanently for restricted, endowment, and planned-gift instruments, as shown in the schedule). When acknowledging gifts, the Organization follows IRS substantiation rules summarized in IRS Publication 1771.</w:t>
      </w:r>
    </w:p>
    <w:p>
      <w:pPr>
        <w:pStyle w:val="ListParagraph"/>
        <w:numPr>
          <w:ilvl w:val="0"/>
          <w:numId w:val="1"/>
        </w:numPr>
        <w:spacing w:after="40"/>
      </w:pPr>
      <w:r>
        <w:t xml:space="preserve">For any single contribution of $250 or more, the donor needs a contemporaneous written acknowledgment from the Organization to claim a deduction; the Organization should provide one stating the amount of cash and a description (but not the value) of any noncash property, and whether any goods or services were provided in return.</w:t>
      </w:r>
    </w:p>
    <w:p>
      <w:pPr>
        <w:pStyle w:val="ListParagraph"/>
        <w:numPr>
          <w:ilvl w:val="0"/>
          <w:numId w:val="1"/>
        </w:numPr>
        <w:spacing w:after="40"/>
      </w:pPr>
      <w:r>
        <w:t xml:space="preserve">For a quid pro quo contribution over $75 (where the donor receives goods or services in exchange), the Organization must furnish a written disclosure stating that the deductible amount is limited to the excess of the payment over the value of the goods or services, and giving a good-faith estimate of that value.</w:t>
      </w:r>
    </w:p>
    <w:p>
      <w:pPr>
        <w:pStyle w:val="ListParagraph"/>
        <w:numPr>
          <w:ilvl w:val="0"/>
          <w:numId w:val="1"/>
        </w:numPr>
        <w:spacing w:after="40"/>
      </w:pPr>
      <w:r>
        <w:t xml:space="preserve">For donated property (noncash gifts), the Organization describes the property but does not state or assign a dollar value — valuation is the donor's responsibility. A donor claiming more than $500 in noncash gifts files Form 8283, and the Organization may need to sign Section B for items over $5,000 and report certain noncash contributions on Form 990 Schedule M.</w:t>
      </w:r>
    </w:p>
    <w:p>
      <w:pPr>
        <w:pStyle w:val="ListParagraph"/>
        <w:numPr>
          <w:ilvl w:val="0"/>
          <w:numId w:val="1"/>
        </w:numPr>
        <w:spacing w:after="40"/>
      </w:pPr>
      <w:r>
        <w:t xml:space="preserve">If the Organization sells, exchanges, or disposes of donated property (for which it signed Form 8283 Section B) within three years, it generally must file Form 8282 and provide a copy to the donor.</w:t>
      </w:r>
    </w:p>
    <w:p>
      <w:pPr>
        <w:spacing w:after="100" w:before="80"/>
      </w:pPr>
      <w:r>
        <w:rPr>
          <w:i/>
          <w:iCs/>
          <w:color w:val="6B6480"/>
          <w:sz w:val="18"/>
          <w:szCs w:val="18"/>
        </w:rPr>
        <w:t xml:space="preserve">The dollar thresholds above ($250 acknowledgment, $75 quid pro quo, $500 / $5,000 noncash) come from current IRS rules (see Publication 1771 and the Form 8283 instructions). Verify the current figures and requirements with your CPA, as IRS rules and forms are updated periodically.</w:t>
      </w:r>
    </w:p>
    <w:p>
      <w:pPr>
        <w:spacing w:after="80" w:before="200"/>
      </w:pPr>
      <w:r>
        <w:rPr>
          <w:b/>
          <w:bCs/>
          <w:color w:val="2E1B4E"/>
          <w:sz w:val="26"/>
          <w:szCs w:val="26"/>
        </w:rPr>
        <w:t xml:space="preserve">9. Prohibition on Improper Destruction; Whistleblower Protection</w:t>
      </w:r>
    </w:p>
    <w:p>
      <w:pPr>
        <w:spacing w:after="100"/>
      </w:pPr>
      <w:r>
        <w:t xml:space="preserve">No Personnel may destroy, alter, conceal, or falsify any record, or pressure another person to do so, with the intent to obstruct or influence any actual or anticipated investigation, audit, litigation, or government proceeding. Such conduct is prohibited, may violate federal and state law, and may subject the individual to disciplinary action up to and including termination, in addition to legal penalties. Personnel are encouraged to report any suspected violation of this Policy under the Organization's Whistleblower Policy without fear of retaliation.</w:t>
      </w:r>
    </w:p>
    <w:p>
      <w:pPr>
        <w:spacing w:after="80" w:before="200"/>
      </w:pPr>
      <w:r>
        <w:rPr>
          <w:b/>
          <w:bCs/>
          <w:color w:val="2E1B4E"/>
          <w:sz w:val="26"/>
          <w:szCs w:val="26"/>
        </w:rPr>
        <w:t xml:space="preserve">10. Review and Amendment</w:t>
      </w:r>
    </w:p>
    <w:p>
      <w:pPr>
        <w:spacing w:after="100"/>
      </w:pPr>
      <w:r>
        <w:t xml:space="preserve">The Board of Directors (or its designated committee) will review this Policy at least every </w:t>
      </w:r>
      <w:r>
        <w:rPr>
          <w:b/>
          <w:bCs/>
          <w:color w:val="7851A9"/>
        </w:rPr>
        <w:t xml:space="preserve">[TWO]</w:t>
      </w:r>
      <w:r>
        <w:t xml:space="preserve"> years, or sooner if laws, regulations, grantor requirements, or the Organization's operations change, and will amend it as needed. The Policy Administrator will ensure the current version is communicated to Personnel.</w:t>
      </w:r>
    </w:p>
    <w:p>
      <w:pPr>
        <w:spacing w:after="100" w:before="80"/>
      </w:pPr>
      <w:r>
        <w:rPr>
          <w:i/>
          <w:iCs/>
          <w:color w:val="6B6480"/>
          <w:sz w:val="18"/>
          <w:szCs w:val="18"/>
        </w:rPr>
        <w:t xml:space="preserve">Reminder: This document is a customizable template, not legal or tax advice, and laws and required retention periods change over time. Before adopting or relying on this Policy, have it reviewed by a qualified attorney and your CPA, and align the retention schedule with your specific federal and state requirements, grant agreements, insurance, and recordkeeping systems.</w:t>
      </w:r>
    </w:p>
    <w:p>
      <w:pPr>
        <w:spacing w:after="80" w:before="200"/>
      </w:pPr>
      <w:r>
        <w:rPr>
          <w:b/>
          <w:bCs/>
          <w:color w:val="2E1B4E"/>
          <w:sz w:val="26"/>
          <w:szCs w:val="26"/>
        </w:rPr>
        <w:t xml:space="preserve">11. Adoption</w:t>
      </w:r>
    </w:p>
    <w:p>
      <w:pPr>
        <w:spacing w:after="80"/>
      </w:pPr>
      <w:r>
        <w:rPr>
          <w:b/>
          <w:bCs/>
        </w:rPr>
        <w:t xml:space="preserve">Organization name: </w:t>
      </w:r>
      <w:r>
        <w:t xml:space="preserve">_______________________________________</w:t>
      </w:r>
    </w:p>
    <w:p>
      <w:pPr>
        <w:spacing w:after="80"/>
      </w:pPr>
      <w:r>
        <w:rPr>
          <w:b/>
          <w:bCs/>
        </w:rPr>
        <w:t xml:space="preserve">Date adopted by the Board of Directors: </w:t>
      </w:r>
      <w:r>
        <w:t xml:space="preserve">_______________________________________</w:t>
      </w:r>
    </w:p>
    <w:p>
      <w:pPr>
        <w:spacing w:after="80"/>
      </w:pPr>
      <w:r>
        <w:rPr>
          <w:b/>
          <w:bCs/>
        </w:rPr>
        <w:t xml:space="preserve">Effective date: </w:t>
      </w:r>
      <w:r>
        <w:t xml:space="preserve">_______________________________________</w:t>
      </w:r>
    </w:p>
    <w:p>
      <w:pPr>
        <w:spacing w:after="80"/>
      </w:pPr>
      <w:r>
        <w:rPr>
          <w:b/>
          <w:bCs/>
        </w:rPr>
        <w:t xml:space="preserve">Date of last review/revision: </w:t>
      </w:r>
      <w:r>
        <w:t xml:space="preserve">_______________________________________</w:t>
      </w:r>
    </w:p>
    <w:p>
      <w:pPr>
        <w:spacing w:after="80"/>
      </w:pPr>
      <w:r>
        <w:rPr>
          <w:b/>
          <w:bCs/>
        </w:rPr>
        <w:t xml:space="preserve">Policy Administrator (name and title): </w:t>
      </w:r>
      <w:r>
        <w:t xml:space="preserve">_______________________________________</w:t>
      </w:r>
    </w:p>
    <w:p>
      <w:pPr>
        <w:spacing w:after="100"/>
      </w:pPr>
      <w:r>
        <w:t xml:space="preserve">This Document Retention and Destruction Policy was adopted by the Board of Directors of </w:t>
      </w:r>
      <w:r>
        <w:rPr>
          <w:b/>
          <w:bCs/>
          <w:color w:val="7851A9"/>
        </w:rPr>
        <w:t xml:space="preserve">[ORGANIZATION NAME]</w:t>
      </w:r>
      <w:r>
        <w:t xml:space="preserve"> on the date set forth above and is effective as of the effective date stated above.</w:t>
      </w:r>
    </w:p>
    <w:p>
      <w:pPr>
        <w:spacing w:before="160"/>
      </w:pPr>
    </w:p>
    <w:p>
      <w:pPr>
        <w:spacing w:after="20"/>
      </w:pPr>
      <w:r>
        <w:t xml:space="preserve">______________________________    Date: ____________</w:t>
      </w:r>
    </w:p>
    <w:p>
      <w:pPr>
        <w:spacing w:after="140"/>
      </w:pPr>
      <w:r>
        <w:rPr>
          <w:color w:val="6B6480"/>
          <w:sz w:val="18"/>
          <w:szCs w:val="18"/>
        </w:rPr>
        <w:t xml:space="preserve">Board Chair / President — signature, printed name, and date</w:t>
      </w:r>
    </w:p>
    <w:p>
      <w:pPr>
        <w:spacing w:after="20"/>
      </w:pPr>
      <w:r>
        <w:t xml:space="preserve">______________________________    Date: ____________</w:t>
      </w:r>
    </w:p>
    <w:p>
      <w:pPr>
        <w:spacing w:after="140"/>
      </w:pPr>
      <w:r>
        <w:rPr>
          <w:color w:val="6B6480"/>
          <w:sz w:val="18"/>
          <w:szCs w:val="18"/>
        </w:rPr>
        <w:t xml:space="preserve">Secretary — signature, printed name, and date</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2026-06-17T12:02:03.808Z</dcterms:created>
  <dcterms:modified xsi:type="dcterms:W3CDTF">2026-06-17T12:02:03.808Z</dcterms:modified>
</cp:coreProperties>
</file>

<file path=docProps/custom.xml><?xml version="1.0" encoding="utf-8"?>
<Properties xmlns="http://schemas.openxmlformats.org/officeDocument/2006/custom-properties" xmlns:vt="http://schemas.openxmlformats.org/officeDocument/2006/docPropsVTypes"/>
</file>