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Gift Acceptance Policy</w:t>
      </w:r>
    </w:p>
    <w:p>
      <w:pPr>
        <w:spacing w:after="80"/>
      </w:pPr>
      <w:r>
        <w:rPr>
          <w:color w:val="2E1B4E"/>
          <w:sz w:val="24"/>
          <w:szCs w:val="24"/>
        </w:rPr>
        <w:t xml:space="preserve">[ORGANIZATION NAME] — a [STATE] nonprofit corporation</w:t>
      </w:r>
    </w:p>
    <w:p>
      <w:pPr>
        <w:pBdr>
          <w:bottom w:val="single" w:color="E6E1EF" w:sz="4" w:space="8"/>
        </w:pBdr>
        <w:spacing w:after="160"/>
      </w:pPr>
      <w:r>
        <w:rPr>
          <w:i/>
          <w:iCs/>
          <w:color w:val="6B6480"/>
          <w:sz w:val="20"/>
          <w:szCs w:val="20"/>
        </w:rPr>
        <w:t xml:space="preserve">This is a starting-point template for your organization to adapt, not legal or tax advice. Replace every [BRACKETED] placeholder, tailor the gift categories to your mission and capacity, and review the final policy with your attorney and CPA before the board adopts it.</w:t>
      </w:r>
    </w:p>
    <w:p>
      <w:pPr>
        <w:spacing w:after="100" w:before="80"/>
      </w:pPr>
      <w:r>
        <w:rPr>
          <w:i/>
          <w:iCs/>
          <w:color w:val="6B6480"/>
          <w:sz w:val="18"/>
          <w:szCs w:val="18"/>
        </w:rPr>
        <w:t xml:space="preserve">How to use this template: Read it through, delete anything that does not fit your organization, and fill in every [BRACKETED ALL-CAPS] placeholder. Dollar thresholds, IRS form numbers, and filing rules cited here reflect long-standing federal practice, but they can change and the details depend on your facts — confirm current thresholds and requirements with your CPA or counsel before adopting. On the IRS Form 990, Schedule M (Noncash Contributions) asks whether your organization has a written gift acceptance policy that requires review of any nonstandard contributions; adopting such a policy and following it consistently supports a 'yes' answer and good stewardship. (Form 990, Part VI separately asks about other governance policies such as conflict of interest, whistleblower, and document retention/destruction.)</w:t>
      </w:r>
    </w:p>
    <w:p>
      <w:pPr>
        <w:spacing w:after="80" w:before="200"/>
      </w:pPr>
      <w:r>
        <w:rPr>
          <w:b/>
          <w:bCs/>
          <w:color w:val="2E1B4E"/>
          <w:sz w:val="26"/>
          <w:szCs w:val="26"/>
        </w:rPr>
        <w:t xml:space="preserve">1. Purpose and Scope</w:t>
      </w:r>
    </w:p>
    <w:p>
      <w:pPr>
        <w:spacing w:after="100"/>
      </w:pPr>
      <w:r>
        <w:rPr>
          <w:b/>
          <w:bCs/>
          <w:color w:val="7851A9"/>
        </w:rPr>
        <w:t xml:space="preserve">[ORGANIZATION NAME]</w:t>
      </w:r>
      <w:r>
        <w:t xml:space="preserve"> (the "Organization"), a tax-exempt organization described in Section 501(c)(3) of the Internal Revenue Code, actively encourages and solicits gifts to advance its mission. This Gift Acceptance Policy (the "Policy") governs the acceptance of gifts to the Organization and provides guidance to donors, their professional advisors, the Board of Directors, staff, and volunteers. Its purposes are to: (a) ensure that gifts accepted are consistent with the Organization's mission, values, and tax-exempt purposes; (b) protect the Organization from accepting gifts that create undue liability, cost, administrative burden, or reputational risk; (c) provide a clear and consistent process for evaluating gifts; and (d) help donors and their advisors understand the types of property the Organization can readily accept.</w:t>
      </w:r>
    </w:p>
    <w:p>
      <w:pPr>
        <w:spacing w:after="100"/>
      </w:pPr>
      <w:r>
        <w:t xml:space="preserve">This Policy applies to all gifts of any kind made to or for the benefit of the Organization, whether outright or deferred. The Organization will not accept any gift that is not consistent with this Policy. Nothing in this Policy obligates the Organization to accept any particular gift. The Organization reserves the right to decline any gift, for any reason, at its sole discretion.</w:t>
      </w:r>
    </w:p>
    <w:p>
      <w:pPr>
        <w:spacing w:after="100"/>
      </w:pPr>
      <w:r>
        <w:t xml:space="preserve">The Organization urges all prospective donors to seek the advice of their own independent legal and tax counsel in matters relating to their gifts, including the tax and estate-planning consequences. The Organization does not provide legal, tax, or financial advice to donors and will not serve as executor, trustee, or personal representative of a donor's estate or trust except as separately approved in writing by the Board.</w:t>
      </w:r>
    </w:p>
    <w:p>
      <w:pPr>
        <w:spacing w:after="80" w:before="200"/>
      </w:pPr>
      <w:r>
        <w:rPr>
          <w:b/>
          <w:bCs/>
          <w:color w:val="2E1B4E"/>
          <w:sz w:val="26"/>
          <w:szCs w:val="26"/>
        </w:rPr>
        <w:t xml:space="preserve">2. Gifts Accepted Without Prior Review</w:t>
      </w:r>
    </w:p>
    <w:p>
      <w:pPr>
        <w:spacing w:after="100"/>
      </w:pPr>
      <w:r>
        <w:t xml:space="preserve">The following gifts are generally low-risk and may be accepted by staff without prior review or approval by the Gift Acceptance Committee, provided they carry no restrictions or unusual conditions and raise no concern under Section 4 (Criteria for Declining a Gift):</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Gift Type</w:t>
            </w:r>
          </w:p>
        </w:tc>
        <w:tc>
          <w:tcPr>
            <w:tcW w:type="pct" w:w="50%"/>
            <w:shd w:fill="EEE7F5" w:val="clear"/>
            <w:tcMar>
              <w:top w:type="dxa" w:w="60"/>
              <w:left w:type="dxa" w:w="100"/>
              <w:bottom w:type="dxa" w:w="60"/>
              <w:right w:type="dxa" w:w="100"/>
            </w:tcMar>
          </w:tcPr>
          <w:p>
            <w:r>
              <w:rPr>
                <w:b/>
                <w:bCs/>
                <w:color w:val="2E1B4E"/>
              </w:rPr>
              <w:t xml:space="preserve">Notes</w:t>
            </w:r>
          </w:p>
        </w:tc>
      </w:tr>
      <w:tr>
        <w:tc>
          <w:tcPr>
            <w:tcW w:type="pct" w:w="50%"/>
            <w:tcMar>
              <w:top w:type="dxa" w:w="60"/>
              <w:left w:type="dxa" w:w="100"/>
              <w:bottom w:type="dxa" w:w="60"/>
              <w:right w:type="dxa" w:w="100"/>
            </w:tcMar>
          </w:tcPr>
          <w:p>
            <w:r>
              <w:t xml:space="preserve">Cash and cash equivalents</w:t>
            </w:r>
          </w:p>
        </w:tc>
        <w:tc>
          <w:tcPr>
            <w:tcW w:type="pct" w:w="50%"/>
            <w:tcMar>
              <w:top w:type="dxa" w:w="60"/>
              <w:left w:type="dxa" w:w="100"/>
              <w:bottom w:type="dxa" w:w="60"/>
              <w:right w:type="dxa" w:w="100"/>
            </w:tcMar>
          </w:tcPr>
          <w:p>
            <w:r>
              <w:t xml:space="preserve">Includes currency, checks, money orders, ACH/wire transfers, online and credit-card gifts, payroll deductions, and donor-advised fund grants. Acceptable in U.S. dollars.</w:t>
            </w:r>
          </w:p>
        </w:tc>
      </w:tr>
      <w:tr>
        <w:tc>
          <w:tcPr>
            <w:tcW w:type="pct" w:w="50%"/>
            <w:tcMar>
              <w:top w:type="dxa" w:w="60"/>
              <w:left w:type="dxa" w:w="100"/>
              <w:bottom w:type="dxa" w:w="60"/>
              <w:right w:type="dxa" w:w="100"/>
            </w:tcMar>
          </w:tcPr>
          <w:p>
            <w:r>
              <w:t xml:space="preserve">Credit-card and electronic gifts</w:t>
            </w:r>
          </w:p>
        </w:tc>
        <w:tc>
          <w:tcPr>
            <w:tcW w:type="pct" w:w="50%"/>
            <w:tcMar>
              <w:top w:type="dxa" w:w="60"/>
              <w:left w:type="dxa" w:w="100"/>
              <w:bottom w:type="dxa" w:w="60"/>
              <w:right w:type="dxa" w:w="100"/>
            </w:tcMar>
          </w:tcPr>
          <w:p>
            <w:r>
              <w:t xml:space="preserve">Processed through the Organization's approved payment processor(s). Processing fees are an Organization expense unless the donor elects to cover them.</w:t>
            </w:r>
          </w:p>
        </w:tc>
      </w:tr>
      <w:tr>
        <w:tc>
          <w:tcPr>
            <w:tcW w:type="pct" w:w="50%"/>
            <w:tcMar>
              <w:top w:type="dxa" w:w="60"/>
              <w:left w:type="dxa" w:w="100"/>
              <w:bottom w:type="dxa" w:w="60"/>
              <w:right w:type="dxa" w:w="100"/>
            </w:tcMar>
          </w:tcPr>
          <w:p>
            <w:r>
              <w:t xml:space="preserve">Publicly traded securities</w:t>
            </w:r>
          </w:p>
        </w:tc>
        <w:tc>
          <w:tcPr>
            <w:tcW w:type="pct" w:w="50%"/>
            <w:tcMar>
              <w:top w:type="dxa" w:w="60"/>
              <w:left w:type="dxa" w:w="100"/>
              <w:bottom w:type="dxa" w:w="60"/>
              <w:right w:type="dxa" w:w="100"/>
            </w:tcMar>
          </w:tcPr>
          <w:p>
            <w:r>
              <w:t xml:space="preserve">Stocks, bonds, and mutual fund shares traded on a recognized public exchange. Unless the Board directs otherwise, the Organization's default practice is to sell such securities promptly upon receipt and not to hold them for investment, to reduce market risk.</w:t>
            </w:r>
          </w:p>
        </w:tc>
      </w:tr>
      <w:tr>
        <w:tc>
          <w:tcPr>
            <w:tcW w:type="pct" w:w="50%"/>
            <w:tcMar>
              <w:top w:type="dxa" w:w="60"/>
              <w:left w:type="dxa" w:w="100"/>
              <w:bottom w:type="dxa" w:w="60"/>
              <w:right w:type="dxa" w:w="100"/>
            </w:tcMar>
          </w:tcPr>
          <w:p>
            <w:r>
              <w:t xml:space="preserve">Checks payable to the Organization</w:t>
            </w:r>
          </w:p>
        </w:tc>
        <w:tc>
          <w:tcPr>
            <w:tcW w:type="pct" w:w="50%"/>
            <w:tcMar>
              <w:top w:type="dxa" w:w="60"/>
              <w:left w:type="dxa" w:w="100"/>
              <w:bottom w:type="dxa" w:w="60"/>
              <w:right w:type="dxa" w:w="100"/>
            </w:tcMar>
          </w:tcPr>
          <w:p>
            <w:r>
              <w:t xml:space="preserve">Must be made payable to </w:t>
            </w:r>
            <w:r>
              <w:rPr>
                <w:b/>
                <w:bCs/>
                <w:color w:val="7851A9"/>
              </w:rPr>
              <w:t xml:space="preserve">[ORGANIZATION NAME]</w:t>
            </w:r>
            <w:r>
              <w:t xml:space="preserve">, not to an individual. Checks payable to a third party are not accepted.</w:t>
            </w:r>
          </w:p>
        </w:tc>
      </w:tr>
    </w:tbl>
    <w:p>
      <w:pPr>
        <w:spacing w:after="120"/>
      </w:pPr>
    </w:p>
    <w:p>
      <w:pPr>
        <w:spacing w:after="100"/>
      </w:pPr>
      <w:r>
        <w:t xml:space="preserve">For gifts of publicly traded securities, the date of the gift generally depends on the method of delivery — for example, the date the securities are received in the Organization's brokerage account for electronic transfers, or the postmark date for properly mailed and endorsed certificates — and the donor, not the Organization, is responsible for determining the gift's deductible value. The Organization's acknowledgment will describe the securities received (name and number of shares) and the date received, but will not state a dollar value. Confirm gift-date and valuation specifics with your CPA, as they vary by delivery method.</w:t>
      </w:r>
    </w:p>
    <w:p>
      <w:pPr>
        <w:spacing w:after="80" w:before="200"/>
      </w:pPr>
      <w:r>
        <w:rPr>
          <w:b/>
          <w:bCs/>
          <w:color w:val="2E1B4E"/>
          <w:sz w:val="26"/>
          <w:szCs w:val="26"/>
        </w:rPr>
        <w:t xml:space="preserve">3. Gifts Requiring Review and Approval</w:t>
      </w:r>
    </w:p>
    <w:p>
      <w:pPr>
        <w:spacing w:after="100"/>
      </w:pPr>
      <w:r>
        <w:t xml:space="preserve">The following gift types may carry legal, financial, environmental, liquidity, or reputational risk and must be reviewed and approved by the Gift Acceptance Committee (Section 8) before acceptance. The Committee may consult legal and financial counsel and may require, at the donor's or the Organization's expense, additional documentation such as appraisals, title reports, or environmental assessments.</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Gift Type</w:t>
            </w:r>
          </w:p>
        </w:tc>
        <w:tc>
          <w:tcPr>
            <w:tcW w:type="pct" w:w="50%"/>
            <w:shd w:fill="EEE7F5" w:val="clear"/>
            <w:tcMar>
              <w:top w:type="dxa" w:w="60"/>
              <w:left w:type="dxa" w:w="100"/>
              <w:bottom w:type="dxa" w:w="60"/>
              <w:right w:type="dxa" w:w="100"/>
            </w:tcMar>
          </w:tcPr>
          <w:p>
            <w:r>
              <w:rPr>
                <w:b/>
                <w:bCs/>
                <w:color w:val="2E1B4E"/>
              </w:rPr>
              <w:t xml:space="preserve">Why Review Is Required / What the Committee Considers</w:t>
            </w:r>
          </w:p>
        </w:tc>
      </w:tr>
      <w:tr>
        <w:tc>
          <w:tcPr>
            <w:tcW w:type="pct" w:w="50%"/>
            <w:tcMar>
              <w:top w:type="dxa" w:w="60"/>
              <w:left w:type="dxa" w:w="100"/>
              <w:bottom w:type="dxa" w:w="60"/>
              <w:right w:type="dxa" w:w="100"/>
            </w:tcMar>
          </w:tcPr>
          <w:p>
            <w:r>
              <w:t xml:space="preserve">Closely held or restricted stock; partnership and LLC interests</w:t>
            </w:r>
          </w:p>
        </w:tc>
        <w:tc>
          <w:tcPr>
            <w:tcW w:type="pct" w:w="50%"/>
            <w:tcMar>
              <w:top w:type="dxa" w:w="60"/>
              <w:left w:type="dxa" w:w="100"/>
              <w:bottom w:type="dxa" w:w="60"/>
              <w:right w:type="dxa" w:w="100"/>
            </w:tcMar>
          </w:tcPr>
          <w:p>
            <w:r>
              <w:t xml:space="preserve">May be illiquid, hard to value, may carry restrictions on transfer or resale, and may generate unrelated business taxable income (UBTI) or expose the Organization to entity liabilities.</w:t>
            </w:r>
          </w:p>
        </w:tc>
      </w:tr>
      <w:tr>
        <w:tc>
          <w:tcPr>
            <w:tcW w:type="pct" w:w="50%"/>
            <w:tcMar>
              <w:top w:type="dxa" w:w="60"/>
              <w:left w:type="dxa" w:w="100"/>
              <w:bottom w:type="dxa" w:w="60"/>
              <w:right w:type="dxa" w:w="100"/>
            </w:tcMar>
          </w:tcPr>
          <w:p>
            <w:r>
              <w:t xml:space="preserve">Real estate (including partial interests, remainder interests, and gifts subject to a mortgage or debt)</w:t>
            </w:r>
          </w:p>
        </w:tc>
        <w:tc>
          <w:tcPr>
            <w:tcW w:type="pct" w:w="50%"/>
            <w:tcMar>
              <w:top w:type="dxa" w:w="60"/>
              <w:left w:type="dxa" w:w="100"/>
              <w:bottom w:type="dxa" w:w="60"/>
              <w:right w:type="dxa" w:w="100"/>
            </w:tcMar>
          </w:tcPr>
          <w:p>
            <w:r>
              <w:t xml:space="preserve">Requires a qualified appraisal, title review, and an environmental assessment. The Committee evaluates marketability, carrying costs (taxes, insurance, maintenance), debt, and potential liabilities. Mortgaged or debt-financed property may generate unrelated debt-financed income; confirm UBTI treatment with the CPA.</w:t>
            </w:r>
          </w:p>
        </w:tc>
      </w:tr>
      <w:tr>
        <w:tc>
          <w:tcPr>
            <w:tcW w:type="pct" w:w="50%"/>
            <w:tcMar>
              <w:top w:type="dxa" w:w="60"/>
              <w:left w:type="dxa" w:w="100"/>
              <w:bottom w:type="dxa" w:w="60"/>
              <w:right w:type="dxa" w:w="100"/>
            </w:tcMar>
          </w:tcPr>
          <w:p>
            <w:r>
              <w:t xml:space="preserve">Tangible personal property (art, collectibles, vehicles, equipment, jewelry, in-kind goods)</w:t>
            </w:r>
          </w:p>
        </w:tc>
        <w:tc>
          <w:tcPr>
            <w:tcW w:type="pct" w:w="50%"/>
            <w:tcMar>
              <w:top w:type="dxa" w:w="60"/>
              <w:left w:type="dxa" w:w="100"/>
              <w:bottom w:type="dxa" w:w="60"/>
              <w:right w:type="dxa" w:w="100"/>
            </w:tcMar>
          </w:tcPr>
          <w:p>
            <w:r>
              <w:t xml:space="preserve">The Committee considers marketability, costs of storage, insurance, transport, and sale, any restrictions on use or sale, and whether the item furthers the Organization's exempt purpose ('related use'), which can affect the donor's deduction.</w:t>
            </w:r>
          </w:p>
        </w:tc>
      </w:tr>
      <w:tr>
        <w:tc>
          <w:tcPr>
            <w:tcW w:type="pct" w:w="50%"/>
            <w:tcMar>
              <w:top w:type="dxa" w:w="60"/>
              <w:left w:type="dxa" w:w="100"/>
              <w:bottom w:type="dxa" w:w="60"/>
              <w:right w:type="dxa" w:w="100"/>
            </w:tcMar>
          </w:tcPr>
          <w:p>
            <w:r>
              <w:t xml:space="preserve">Cryptocurrency and other digital assets</w:t>
            </w:r>
          </w:p>
        </w:tc>
        <w:tc>
          <w:tcPr>
            <w:tcW w:type="pct" w:w="50%"/>
            <w:tcMar>
              <w:top w:type="dxa" w:w="60"/>
              <w:left w:type="dxa" w:w="100"/>
              <w:bottom w:type="dxa" w:w="60"/>
              <w:right w:type="dxa" w:w="100"/>
            </w:tcMar>
          </w:tcPr>
          <w:p>
            <w:r>
              <w:t xml:space="preserve">Treated by the IRS as property, not currency. The Organization's default practice is to liquidate promptly through a reputable, compliant exchange or processor. The Committee considers volatility, custody/security, and anti-money-laundering and know-your-donor concerns. Note: a donor's contribution of cryptocurrency over $5,000 generally requires a qualified appraisal for the deduction.</w:t>
            </w:r>
          </w:p>
        </w:tc>
      </w:tr>
      <w:tr>
        <w:tc>
          <w:tcPr>
            <w:tcW w:type="pct" w:w="50%"/>
            <w:tcMar>
              <w:top w:type="dxa" w:w="60"/>
              <w:left w:type="dxa" w:w="100"/>
              <w:bottom w:type="dxa" w:w="60"/>
              <w:right w:type="dxa" w:w="100"/>
            </w:tcMar>
          </w:tcPr>
          <w:p>
            <w:r>
              <w:t xml:space="preserve">Planned and deferred gifts (bequests, charitable gift annuities, charitable remainder and lead trusts, retirement-plan and life-insurance beneficiary designations, retained life estates)</w:t>
            </w:r>
          </w:p>
        </w:tc>
        <w:tc>
          <w:tcPr>
            <w:tcW w:type="pct" w:w="50%"/>
            <w:tcMar>
              <w:top w:type="dxa" w:w="60"/>
              <w:left w:type="dxa" w:w="100"/>
              <w:bottom w:type="dxa" w:w="60"/>
              <w:right w:type="dxa" w:w="100"/>
            </w:tcMar>
          </w:tcPr>
          <w:p>
            <w:r>
              <w:t xml:space="preserve">Often involve ongoing administration, actuarial and reserve requirements, and may be regulated under state law. Some vehicles (e.g., charitable gift annuities) may require state registration and reserves before the Organization may offer them; confirm state-law requirements with counsel.</w:t>
            </w:r>
          </w:p>
        </w:tc>
      </w:tr>
      <w:tr>
        <w:tc>
          <w:tcPr>
            <w:tcW w:type="pct" w:w="50%"/>
            <w:tcMar>
              <w:top w:type="dxa" w:w="60"/>
              <w:left w:type="dxa" w:w="100"/>
              <w:bottom w:type="dxa" w:w="60"/>
              <w:right w:type="dxa" w:w="100"/>
            </w:tcMar>
          </w:tcPr>
          <w:p>
            <w:r>
              <w:t xml:space="preserve">Gifts with restrictions, conditions, or unusual terms</w:t>
            </w:r>
          </w:p>
        </w:tc>
        <w:tc>
          <w:tcPr>
            <w:tcW w:type="pct" w:w="50%"/>
            <w:tcMar>
              <w:top w:type="dxa" w:w="60"/>
              <w:left w:type="dxa" w:w="100"/>
              <w:bottom w:type="dxa" w:w="60"/>
              <w:right w:type="dxa" w:w="100"/>
            </w:tcMar>
          </w:tcPr>
          <w:p>
            <w:r>
              <w:t xml:space="preserve">Any gift that names a restricted purpose, requires naming rights, imposes ongoing obligations, requires the Organization to acquire or hold specific property, or includes conditions the Organization may be unable to satisfy.</w:t>
            </w:r>
          </w:p>
        </w:tc>
      </w:tr>
      <w:tr>
        <w:tc>
          <w:tcPr>
            <w:tcW w:type="pct" w:w="50%"/>
            <w:tcMar>
              <w:top w:type="dxa" w:w="60"/>
              <w:left w:type="dxa" w:w="100"/>
              <w:bottom w:type="dxa" w:w="60"/>
              <w:right w:type="dxa" w:w="100"/>
            </w:tcMar>
          </w:tcPr>
          <w:p>
            <w:r>
              <w:t xml:space="preserve">In-kind gifts of services or below-market arrangements</w:t>
            </w:r>
          </w:p>
        </w:tc>
        <w:tc>
          <w:tcPr>
            <w:tcW w:type="pct" w:w="50%"/>
            <w:tcMar>
              <w:top w:type="dxa" w:w="60"/>
              <w:left w:type="dxa" w:w="100"/>
              <w:bottom w:type="dxa" w:w="60"/>
              <w:right w:type="dxa" w:w="100"/>
            </w:tcMar>
          </w:tcPr>
          <w:p>
            <w:r>
              <w:t xml:space="preserve">The Committee considers whether the Organization can use the goods/services and the acknowledgment/valuation treatment (note: contributed services are generally not tax-deductible to the donor).</w:t>
            </w:r>
          </w:p>
        </w:tc>
      </w:tr>
    </w:tbl>
    <w:p>
      <w:pPr>
        <w:spacing w:after="120"/>
      </w:pPr>
    </w:p>
    <w:p>
      <w:pPr>
        <w:spacing w:after="80" w:before="200"/>
      </w:pPr>
      <w:r>
        <w:rPr>
          <w:b/>
          <w:bCs/>
          <w:color w:val="2E1B4E"/>
          <w:sz w:val="26"/>
          <w:szCs w:val="26"/>
        </w:rPr>
        <w:t xml:space="preserve">4. Criteria for Declining a Gift</w:t>
      </w:r>
    </w:p>
    <w:p>
      <w:pPr>
        <w:spacing w:after="100"/>
      </w:pPr>
      <w:r>
        <w:t xml:space="preserve">The Organization may decline any gift. The Gift Acceptance Committee will generally recommend declining, or will decline, a gift if one or more of the following apply:</w:t>
      </w:r>
    </w:p>
    <w:p>
      <w:pPr>
        <w:pStyle w:val="ListParagraph"/>
        <w:numPr>
          <w:ilvl w:val="0"/>
          <w:numId w:val="1"/>
        </w:numPr>
        <w:spacing w:after="40"/>
      </w:pPr>
      <w:r>
        <w:t xml:space="preserve">The gift is inconsistent with the Organization's mission, values, or tax-exempt purposes, or would jeopardize the Organization's tax-exempt status.</w:t>
      </w:r>
    </w:p>
    <w:p>
      <w:pPr>
        <w:pStyle w:val="ListParagraph"/>
        <w:numPr>
          <w:ilvl w:val="0"/>
          <w:numId w:val="1"/>
        </w:numPr>
        <w:spacing w:after="40"/>
      </w:pPr>
      <w:r>
        <w:t xml:space="preserve">The gift carries restrictions or conditions the Organization cannot reasonably satisfy, or that unduly restrict the Organization's flexibility or operations.</w:t>
      </w:r>
    </w:p>
    <w:p>
      <w:pPr>
        <w:pStyle w:val="ListParagraph"/>
        <w:numPr>
          <w:ilvl w:val="0"/>
          <w:numId w:val="1"/>
        </w:numPr>
        <w:spacing w:after="40"/>
      </w:pPr>
      <w:r>
        <w:t xml:space="preserve">The cost of accepting, holding, administering, or disposing of the gift (including taxes, insurance, maintenance, environmental remediation, or legal fees) is likely to exceed its value to the Organization.</w:t>
      </w:r>
    </w:p>
    <w:p>
      <w:pPr>
        <w:pStyle w:val="ListParagraph"/>
        <w:numPr>
          <w:ilvl w:val="0"/>
          <w:numId w:val="1"/>
        </w:numPr>
        <w:spacing w:after="40"/>
      </w:pPr>
      <w:r>
        <w:t xml:space="preserve">The gift exposes the Organization to undue liability, litigation, or financial, legal, or environmental risk.</w:t>
      </w:r>
    </w:p>
    <w:p>
      <w:pPr>
        <w:pStyle w:val="ListParagraph"/>
        <w:numPr>
          <w:ilvl w:val="0"/>
          <w:numId w:val="1"/>
        </w:numPr>
        <w:spacing w:after="40"/>
      </w:pPr>
      <w:r>
        <w:t xml:space="preserve">The gift could damage the Organization's reputation or its relationships with donors, funders, partners, or the community.</w:t>
      </w:r>
    </w:p>
    <w:p>
      <w:pPr>
        <w:pStyle w:val="ListParagraph"/>
        <w:numPr>
          <w:ilvl w:val="0"/>
          <w:numId w:val="1"/>
        </w:numPr>
        <w:spacing w:after="40"/>
      </w:pPr>
      <w:r>
        <w:t xml:space="preserve">The gift's source, structure, or purpose raises concerns under anti-money-laundering, sanctions, know-your-donor, or other legal or ethical standards, or appears intended to provide an improper private benefit.</w:t>
      </w:r>
    </w:p>
    <w:p>
      <w:pPr>
        <w:pStyle w:val="ListParagraph"/>
        <w:numPr>
          <w:ilvl w:val="0"/>
          <w:numId w:val="1"/>
        </w:numPr>
        <w:spacing w:after="40"/>
      </w:pPr>
      <w:r>
        <w:t xml:space="preserve">The gift is illiquid, difficult to value, or cannot be readily converted to a usable form within a reasonable time.</w:t>
      </w:r>
    </w:p>
    <w:p>
      <w:pPr>
        <w:pStyle w:val="ListParagraph"/>
        <w:numPr>
          <w:ilvl w:val="0"/>
          <w:numId w:val="1"/>
        </w:numPr>
        <w:spacing w:after="40"/>
      </w:pPr>
      <w:r>
        <w:t xml:space="preserve">Acceptance would violate any applicable federal, state, or local law or any agreement binding on the Organization.</w:t>
      </w:r>
    </w:p>
    <w:p>
      <w:pPr>
        <w:spacing w:after="80" w:before="200"/>
      </w:pPr>
      <w:r>
        <w:rPr>
          <w:b/>
          <w:bCs/>
          <w:color w:val="2E1B4E"/>
          <w:sz w:val="26"/>
          <w:szCs w:val="26"/>
        </w:rPr>
        <w:t xml:space="preserve">5. Restricted vs. Unrestricted Gifts</w:t>
      </w:r>
    </w:p>
    <w:p>
      <w:pPr>
        <w:spacing w:after="100"/>
      </w:pPr>
      <w:r>
        <w:t xml:space="preserve">Unrestricted gifts are available for any purpose consistent with the Organization's mission and are the most useful form of support because they let the Organization direct resources where the need is greatest. Restricted gifts are designated by the donor for a specific program, project, time period, or purpose. The Organization will honor donor restrictions that are clearly documented in writing at the time of the gift and that the Organization agrees to accept; the Organization is not bound by restrictions communicated only after a gift is made or that it did not agree to.</w:t>
      </w:r>
    </w:p>
    <w:p>
      <w:pPr>
        <w:spacing w:after="100"/>
      </w:pPr>
      <w:r>
        <w:t xml:space="preserve">To avoid misunderstanding, donors who wish to restrict a gift should state the restriction in writing, and material restrictions must be reviewed under Section 3. The Organization may, in its discretion, decline a restricted gift, or may seek the donor's written consent to modify a restriction that has become impractical, impossible, or unlawful to fulfill (and may seek court or attorney-general approval where required by state law). The Organization accounts for restricted and unrestricted gifts in accordance with applicable accounting standards (net assets with and without donor restrictions); confirm proper classification and release of restrictions with your CPA.</w:t>
      </w:r>
    </w:p>
    <w:p>
      <w:pPr>
        <w:spacing w:after="80" w:before="200"/>
      </w:pPr>
      <w:r>
        <w:rPr>
          <w:b/>
          <w:bCs/>
          <w:color w:val="2E1B4E"/>
          <w:sz w:val="26"/>
          <w:szCs w:val="26"/>
        </w:rPr>
        <w:t xml:space="preserve">6. Valuation, Substantiation, and Acknowledgment</w:t>
      </w:r>
    </w:p>
    <w:p>
      <w:pPr>
        <w:spacing w:after="100"/>
      </w:pPr>
      <w:r>
        <w:t xml:space="preserve">Donor acknowledgment. The Organization will provide each donor with a timely written acknowledgment that meets IRS substantiation requirements. For any single contribution of $250 or more, the donor must have a contemporaneous written acknowledgment to claim a deduction; that acknowledgment states the amount of any cash contributed, describes (but does not value) any noncash property contributed, and states whether the Organization provided any goods or services in exchange and, if so, a good-faith estimate of their value. For a quid pro quo contribution of more than $75 (a payment made partly as a contribution and partly for goods or services), the Organization will provide the required written disclosure. Confirm current threshold amounts and language with your CPA.</w:t>
      </w:r>
    </w:p>
    <w:p>
      <w:pPr>
        <w:spacing w:after="100"/>
      </w:pPr>
      <w:r>
        <w:t xml:space="preserve">Charity describes, donor values. For gifts of property (noncash gifts), the Organization describes the property received and the date received but does not appraise or state a dollar value on the donor's acknowledgment. Determining the deductible value — and obtaining any required qualified appraisal — is the donor's responsibility. The Organization will not act as the donor's appraiser.</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Form / Rule</w:t>
            </w:r>
          </w:p>
        </w:tc>
        <w:tc>
          <w:tcPr>
            <w:tcW w:type="pct" w:w="50%"/>
            <w:shd w:fill="EEE7F5" w:val="clear"/>
            <w:tcMar>
              <w:top w:type="dxa" w:w="60"/>
              <w:left w:type="dxa" w:w="100"/>
              <w:bottom w:type="dxa" w:w="60"/>
              <w:right w:type="dxa" w:w="100"/>
            </w:tcMar>
          </w:tcPr>
          <w:p>
            <w:r>
              <w:rPr>
                <w:b/>
                <w:bCs/>
                <w:color w:val="2E1B4E"/>
              </w:rPr>
              <w:t xml:space="preserve">What It Is and Who Is Responsible</w:t>
            </w:r>
          </w:p>
        </w:tc>
      </w:tr>
      <w:tr>
        <w:tc>
          <w:tcPr>
            <w:tcW w:type="pct" w:w="50%"/>
            <w:tcMar>
              <w:top w:type="dxa" w:w="60"/>
              <w:left w:type="dxa" w:w="100"/>
              <w:bottom w:type="dxa" w:w="60"/>
              <w:right w:type="dxa" w:w="100"/>
            </w:tcMar>
          </w:tcPr>
          <w:p>
            <w:r>
              <w:t xml:space="preserve">Written acknowledgment (contributions of $250+)</w:t>
            </w:r>
          </w:p>
        </w:tc>
        <w:tc>
          <w:tcPr>
            <w:tcW w:type="pct" w:w="50%"/>
            <w:tcMar>
              <w:top w:type="dxa" w:w="60"/>
              <w:left w:type="dxa" w:w="100"/>
              <w:bottom w:type="dxa" w:w="60"/>
              <w:right w:type="dxa" w:w="100"/>
            </w:tcMar>
          </w:tcPr>
          <w:p>
            <w:r>
              <w:t xml:space="preserve">Donor needs it to claim the deduction; the Organization provides it. Must be contemporaneous, describe noncash property without valuing it, and state whether goods/services were provided in return (with a good-faith estimate of their value).</w:t>
            </w:r>
          </w:p>
        </w:tc>
      </w:tr>
      <w:tr>
        <w:tc>
          <w:tcPr>
            <w:tcW w:type="pct" w:w="50%"/>
            <w:tcMar>
              <w:top w:type="dxa" w:w="60"/>
              <w:left w:type="dxa" w:w="100"/>
              <w:bottom w:type="dxa" w:w="60"/>
              <w:right w:type="dxa" w:w="100"/>
            </w:tcMar>
          </w:tcPr>
          <w:p>
            <w:r>
              <w:t xml:space="preserve">IRS Form 8283 (Noncash Charitable Contributions)</w:t>
            </w:r>
          </w:p>
        </w:tc>
        <w:tc>
          <w:tcPr>
            <w:tcW w:type="pct" w:w="50%"/>
            <w:tcMar>
              <w:top w:type="dxa" w:w="60"/>
              <w:left w:type="dxa" w:w="100"/>
              <w:bottom w:type="dxa" w:w="60"/>
              <w:right w:type="dxa" w:w="100"/>
            </w:tcMar>
          </w:tcPr>
          <w:p>
            <w:r>
              <w:t xml:space="preserve">Donor's responsibility. A donor claiming a deduction generally must file Form 8283 when total claimed deductions for noncash gifts for the year exceed $500. For most single items or groups of similar items valued over $5,000, the donor must obtain a qualified appraisal and the Organization (as donee) is asked to sign the donee acknowledgment (Section B) on the form. Signing acknowledges receipt of the described property only — not agreement with the claimed value.</w:t>
            </w:r>
          </w:p>
        </w:tc>
      </w:tr>
      <w:tr>
        <w:tc>
          <w:tcPr>
            <w:tcW w:type="pct" w:w="50%"/>
            <w:tcMar>
              <w:top w:type="dxa" w:w="60"/>
              <w:left w:type="dxa" w:w="100"/>
              <w:bottom w:type="dxa" w:w="60"/>
              <w:right w:type="dxa" w:w="100"/>
            </w:tcMar>
          </w:tcPr>
          <w:p>
            <w:r>
              <w:t xml:space="preserve">IRS Form 8282 (Donee Information Return)</w:t>
            </w:r>
          </w:p>
        </w:tc>
        <w:tc>
          <w:tcPr>
            <w:tcW w:type="pct" w:w="50%"/>
            <w:tcMar>
              <w:top w:type="dxa" w:w="60"/>
              <w:left w:type="dxa" w:w="100"/>
              <w:bottom w:type="dxa" w:w="60"/>
              <w:right w:type="dxa" w:w="100"/>
            </w:tcMar>
          </w:tcPr>
          <w:p>
            <w:r>
              <w:t xml:space="preserve">Organization's responsibility. If the Organization sells, exchanges, or otherwise disposes of donated property (for which the donor was required to sign Form 8283, Section B) within the period specified by the IRS after receipt (generally three years), it generally must file Form 8282 and provide a copy to the donor. Confirm the current disposition window and any exceptions with your CPA.</w:t>
            </w:r>
          </w:p>
        </w:tc>
      </w:tr>
      <w:tr>
        <w:tc>
          <w:tcPr>
            <w:tcW w:type="pct" w:w="50%"/>
            <w:tcMar>
              <w:top w:type="dxa" w:w="60"/>
              <w:left w:type="dxa" w:w="100"/>
              <w:bottom w:type="dxa" w:w="60"/>
              <w:right w:type="dxa" w:w="100"/>
            </w:tcMar>
          </w:tcPr>
          <w:p>
            <w:r>
              <w:t xml:space="preserve">Form 990, Schedule M (Noncash Contributions)</w:t>
            </w:r>
          </w:p>
        </w:tc>
        <w:tc>
          <w:tcPr>
            <w:tcW w:type="pct" w:w="50%"/>
            <w:tcMar>
              <w:top w:type="dxa" w:w="60"/>
              <w:left w:type="dxa" w:w="100"/>
              <w:bottom w:type="dxa" w:w="60"/>
              <w:right w:type="dxa" w:w="100"/>
            </w:tcMar>
          </w:tcPr>
          <w:p>
            <w:r>
              <w:t xml:space="preserve">Organization's responsibility. Filed with the annual Form 990 to report the types and amounts of noncash contributions received when the applicable filing threshold is met. Schedule M also asks whether the Organization has a gift acceptance policy requiring review of nonstandard contributions.</w:t>
            </w:r>
          </w:p>
        </w:tc>
      </w:tr>
      <w:tr>
        <w:tc>
          <w:tcPr>
            <w:tcW w:type="pct" w:w="50%"/>
            <w:tcMar>
              <w:top w:type="dxa" w:w="60"/>
              <w:left w:type="dxa" w:w="100"/>
              <w:bottom w:type="dxa" w:w="60"/>
              <w:right w:type="dxa" w:w="100"/>
            </w:tcMar>
          </w:tcPr>
          <w:p>
            <w:r>
              <w:t xml:space="preserve">Form 990, Part VI (Governance)</w:t>
            </w:r>
          </w:p>
        </w:tc>
        <w:tc>
          <w:tcPr>
            <w:tcW w:type="pct" w:w="50%"/>
            <w:tcMar>
              <w:top w:type="dxa" w:w="60"/>
              <w:left w:type="dxa" w:w="100"/>
              <w:bottom w:type="dxa" w:w="60"/>
              <w:right w:type="dxa" w:w="100"/>
            </w:tcMar>
          </w:tcPr>
          <w:p>
            <w:r>
              <w:t xml:space="preserve">Organization's responsibility. Asks whether the Organization has certain written governance policies — for example, a conflict of interest policy, a whistleblower policy, and a document retention and destruction policy. (The written gift acceptance policy question appears on Schedule M, not Part VI.)</w:t>
            </w:r>
          </w:p>
        </w:tc>
      </w:tr>
    </w:tbl>
    <w:p>
      <w:pPr>
        <w:spacing w:after="120"/>
      </w:pPr>
    </w:p>
    <w:p>
      <w:pPr>
        <w:spacing w:after="100"/>
      </w:pPr>
      <w:r>
        <w:t xml:space="preserve">Vehicle gifts and other special cases follow separate IRS substantiation rules (for example, Form 1098-C for donated vehicles, boats, and aircraft). Because IRS forms, thresholds, and timing requirements change, the Organization will confirm the applicable rules with its CPA or counsel for each noncash gift rather than relying solely on the figures stated in this Policy.</w:t>
      </w:r>
    </w:p>
    <w:p>
      <w:pPr>
        <w:spacing w:after="80" w:before="200"/>
      </w:pPr>
      <w:r>
        <w:rPr>
          <w:b/>
          <w:bCs/>
          <w:color w:val="2E1B4E"/>
          <w:sz w:val="26"/>
          <w:szCs w:val="26"/>
        </w:rPr>
        <w:t xml:space="preserve">7. Use of Legal and Financial Counsel</w:t>
      </w:r>
    </w:p>
    <w:p>
      <w:pPr>
        <w:spacing w:after="100"/>
      </w:pPr>
      <w:r>
        <w:t xml:space="preserve">The Gift Acceptance Committee will seek the advice of qualified legal and/or financial counsel when reviewing any gift that is complex, unusual, or potentially high-risk, including (but not limited to): gifts of real estate, closely held or restricted securities, partnership or LLC interests, cryptocurrency or other digital assets, planned and deferred gifts (including any documents the Organization is asked to sign as trustee or beneficiary), gifts with significant restrictions or ongoing obligations, and any gift that may raise tax (including UBTI), regulatory, environmental, or liability concerns. The Organization and the donor will agree in advance, in writing, on who bears the cost of any appraisals, title work, environmental assessments, or professional fees.</w:t>
      </w:r>
    </w:p>
    <w:p>
      <w:pPr>
        <w:spacing w:after="80" w:before="200"/>
      </w:pPr>
      <w:r>
        <w:rPr>
          <w:b/>
          <w:bCs/>
          <w:color w:val="2E1B4E"/>
          <w:sz w:val="26"/>
          <w:szCs w:val="26"/>
        </w:rPr>
        <w:t xml:space="preserve">8. Gift Acceptance Committee</w:t>
      </w:r>
    </w:p>
    <w:p>
      <w:pPr>
        <w:spacing w:after="100"/>
      </w:pPr>
      <w:r>
        <w:t xml:space="preserve">The Board of Directors establishes a Gift Acceptance Committee (the "Committee") to review and approve gifts under Section 3 and to make recommendations to the Board on matters under this Policy. The Committee's composition is:</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Role</w:t>
            </w:r>
          </w:p>
        </w:tc>
        <w:tc>
          <w:tcPr>
            <w:tcW w:type="pct" w:w="33%"/>
            <w:shd w:fill="EEE7F5" w:val="clear"/>
            <w:tcMar>
              <w:top w:type="dxa" w:w="60"/>
              <w:left w:type="dxa" w:w="100"/>
              <w:bottom w:type="dxa" w:w="60"/>
              <w:right w:type="dxa" w:w="100"/>
            </w:tcMar>
          </w:tcPr>
          <w:p>
            <w:r>
              <w:rPr>
                <w:b/>
                <w:bCs/>
                <w:color w:val="2E1B4E"/>
              </w:rPr>
              <w:t xml:space="preserve">Filled By</w:t>
            </w:r>
          </w:p>
        </w:tc>
        <w:tc>
          <w:tcPr>
            <w:tcW w:type="pct" w:w="33%"/>
            <w:shd w:fill="EEE7F5" w:val="clear"/>
            <w:tcMar>
              <w:top w:type="dxa" w:w="60"/>
              <w:left w:type="dxa" w:w="100"/>
              <w:bottom w:type="dxa" w:w="60"/>
              <w:right w:type="dxa" w:w="100"/>
            </w:tcMar>
          </w:tcPr>
          <w:p>
            <w:r>
              <w:rPr>
                <w:b/>
                <w:bCs/>
                <w:color w:val="2E1B4E"/>
              </w:rPr>
              <w:t xml:space="preserve">Notes</w:t>
            </w:r>
          </w:p>
        </w:tc>
      </w:tr>
      <w:tr>
        <w:tc>
          <w:tcPr>
            <w:tcW w:type="pct" w:w="33%"/>
            <w:tcMar>
              <w:top w:type="dxa" w:w="60"/>
              <w:left w:type="dxa" w:w="100"/>
              <w:bottom w:type="dxa" w:w="60"/>
              <w:right w:type="dxa" w:w="100"/>
            </w:tcMar>
          </w:tcPr>
          <w:p>
            <w:r>
              <w:t xml:space="preserve">Committee Chair</w:t>
            </w:r>
          </w:p>
        </w:tc>
        <w:tc>
          <w:tcPr>
            <w:tcW w:type="pct" w:w="33%"/>
            <w:tcMar>
              <w:top w:type="dxa" w:w="60"/>
              <w:left w:type="dxa" w:w="100"/>
              <w:bottom w:type="dxa" w:w="60"/>
              <w:right w:type="dxa" w:w="100"/>
            </w:tcMar>
          </w:tcPr>
          <w:p>
            <w:r>
              <w:rPr>
                <w:b/>
                <w:bCs/>
                <w:color w:val="7851A9"/>
              </w:rPr>
              <w:t xml:space="preserve">[NAME / BOARD ROLE]</w:t>
            </w:r>
          </w:p>
        </w:tc>
        <w:tc>
          <w:tcPr>
            <w:tcW w:type="pct" w:w="33%"/>
            <w:tcMar>
              <w:top w:type="dxa" w:w="60"/>
              <w:left w:type="dxa" w:w="100"/>
              <w:bottom w:type="dxa" w:w="60"/>
              <w:right w:type="dxa" w:w="100"/>
            </w:tcMar>
          </w:tcPr>
          <w:p>
            <w:r>
              <w:t xml:space="preserve">Typically the Treasurer or a Board member with relevant financial expertise.</w:t>
            </w:r>
          </w:p>
        </w:tc>
      </w:tr>
      <w:tr>
        <w:tc>
          <w:tcPr>
            <w:tcW w:type="pct" w:w="33%"/>
            <w:tcMar>
              <w:top w:type="dxa" w:w="60"/>
              <w:left w:type="dxa" w:w="100"/>
              <w:bottom w:type="dxa" w:w="60"/>
              <w:right w:type="dxa" w:w="100"/>
            </w:tcMar>
          </w:tcPr>
          <w:p>
            <w:r>
              <w:t xml:space="preserve">Member</w:t>
            </w:r>
          </w:p>
        </w:tc>
        <w:tc>
          <w:tcPr>
            <w:tcW w:type="pct" w:w="33%"/>
            <w:tcMar>
              <w:top w:type="dxa" w:w="60"/>
              <w:left w:type="dxa" w:w="100"/>
              <w:bottom w:type="dxa" w:w="60"/>
              <w:right w:type="dxa" w:w="100"/>
            </w:tcMar>
          </w:tcPr>
          <w:p>
            <w:r>
              <w:rPr>
                <w:b/>
                <w:bCs/>
                <w:color w:val="7851A9"/>
              </w:rPr>
              <w:t xml:space="preserve">[NAME / ROLE — e.g., EXECUTIVE DIRECTOR]</w:t>
            </w:r>
          </w:p>
        </w:tc>
        <w:tc>
          <w:tcPr>
            <w:tcW w:type="pct" w:w="33%"/>
            <w:tcMar>
              <w:top w:type="dxa" w:w="60"/>
              <w:left w:type="dxa" w:w="100"/>
              <w:bottom w:type="dxa" w:w="60"/>
              <w:right w:type="dxa" w:w="100"/>
            </w:tcMar>
          </w:tcPr>
          <w:p>
            <w:r>
              <w:t xml:space="preserve">Provides operational and mission perspective.</w:t>
            </w:r>
          </w:p>
        </w:tc>
      </w:tr>
      <w:tr>
        <w:tc>
          <w:tcPr>
            <w:tcW w:type="pct" w:w="33%"/>
            <w:tcMar>
              <w:top w:type="dxa" w:w="60"/>
              <w:left w:type="dxa" w:w="100"/>
              <w:bottom w:type="dxa" w:w="60"/>
              <w:right w:type="dxa" w:w="100"/>
            </w:tcMar>
          </w:tcPr>
          <w:p>
            <w:r>
              <w:t xml:space="preserve">Member</w:t>
            </w:r>
          </w:p>
        </w:tc>
        <w:tc>
          <w:tcPr>
            <w:tcW w:type="pct" w:w="33%"/>
            <w:tcMar>
              <w:top w:type="dxa" w:w="60"/>
              <w:left w:type="dxa" w:w="100"/>
              <w:bottom w:type="dxa" w:w="60"/>
              <w:right w:type="dxa" w:w="100"/>
            </w:tcMar>
          </w:tcPr>
          <w:p>
            <w:r>
              <w:rPr>
                <w:b/>
                <w:bCs/>
                <w:color w:val="7851A9"/>
              </w:rPr>
              <w:t xml:space="preserve">[NAME / ROLE — e.g., FINANCE / DEVELOPMENT STAFF]</w:t>
            </w:r>
          </w:p>
        </w:tc>
        <w:tc>
          <w:tcPr>
            <w:tcW w:type="pct" w:w="33%"/>
            <w:tcMar>
              <w:top w:type="dxa" w:w="60"/>
              <w:left w:type="dxa" w:w="100"/>
              <w:bottom w:type="dxa" w:w="60"/>
              <w:right w:type="dxa" w:w="100"/>
            </w:tcMar>
          </w:tcPr>
          <w:p>
            <w:r>
              <w:t xml:space="preserve">Provides gift-administration and accounting perspective.</w:t>
            </w:r>
          </w:p>
        </w:tc>
      </w:tr>
      <w:tr>
        <w:tc>
          <w:tcPr>
            <w:tcW w:type="pct" w:w="33%"/>
            <w:tcMar>
              <w:top w:type="dxa" w:w="60"/>
              <w:left w:type="dxa" w:w="100"/>
              <w:bottom w:type="dxa" w:w="60"/>
              <w:right w:type="dxa" w:w="100"/>
            </w:tcMar>
          </w:tcPr>
          <w:p>
            <w:r>
              <w:t xml:space="preserve">Member</w:t>
            </w:r>
          </w:p>
        </w:tc>
        <w:tc>
          <w:tcPr>
            <w:tcW w:type="pct" w:w="33%"/>
            <w:tcMar>
              <w:top w:type="dxa" w:w="60"/>
              <w:left w:type="dxa" w:w="100"/>
              <w:bottom w:type="dxa" w:w="60"/>
              <w:right w:type="dxa" w:w="100"/>
            </w:tcMar>
          </w:tcPr>
          <w:p>
            <w:r>
              <w:rPr>
                <w:b/>
                <w:bCs/>
                <w:color w:val="7851A9"/>
              </w:rPr>
              <w:t xml:space="preserve">[NAME / ROLE — e.g., AT-LARGE BOARD MEMBER]</w:t>
            </w:r>
          </w:p>
        </w:tc>
        <w:tc>
          <w:tcPr>
            <w:tcW w:type="pct" w:w="33%"/>
            <w:tcMar>
              <w:top w:type="dxa" w:w="60"/>
              <w:left w:type="dxa" w:w="100"/>
              <w:bottom w:type="dxa" w:w="60"/>
              <w:right w:type="dxa" w:w="100"/>
            </w:tcMar>
          </w:tcPr>
          <w:p>
            <w:r>
              <w:t xml:space="preserve">Provides independent governance perspective.</w:t>
            </w:r>
          </w:p>
        </w:tc>
      </w:tr>
      <w:tr>
        <w:tc>
          <w:tcPr>
            <w:tcW w:type="pct" w:w="33%"/>
            <w:tcMar>
              <w:top w:type="dxa" w:w="60"/>
              <w:left w:type="dxa" w:w="100"/>
              <w:bottom w:type="dxa" w:w="60"/>
              <w:right w:type="dxa" w:w="100"/>
            </w:tcMar>
          </w:tcPr>
          <w:p>
            <w:r>
              <w:t xml:space="preserve">Advisor (non-voting, as needed)</w:t>
            </w:r>
          </w:p>
        </w:tc>
        <w:tc>
          <w:tcPr>
            <w:tcW w:type="pct" w:w="33%"/>
            <w:tcMar>
              <w:top w:type="dxa" w:w="60"/>
              <w:left w:type="dxa" w:w="100"/>
              <w:bottom w:type="dxa" w:w="60"/>
              <w:right w:type="dxa" w:w="100"/>
            </w:tcMar>
          </w:tcPr>
          <w:p>
            <w:r>
              <w:rPr>
                <w:b/>
                <w:bCs/>
                <w:color w:val="7851A9"/>
              </w:rPr>
              <w:t xml:space="preserve">[LEGAL / FINANCIAL COUNSEL]</w:t>
            </w:r>
          </w:p>
        </w:tc>
        <w:tc>
          <w:tcPr>
            <w:tcW w:type="pct" w:w="33%"/>
            <w:tcMar>
              <w:top w:type="dxa" w:w="60"/>
              <w:left w:type="dxa" w:w="100"/>
              <w:bottom w:type="dxa" w:w="60"/>
              <w:right w:type="dxa" w:w="100"/>
            </w:tcMar>
          </w:tcPr>
          <w:p>
            <w:r>
              <w:t xml:space="preserve">Consulted on complex or high-risk gifts under Section 7.</w:t>
            </w:r>
          </w:p>
        </w:tc>
      </w:tr>
    </w:tbl>
    <w:p>
      <w:pPr>
        <w:spacing w:after="120"/>
      </w:pPr>
    </w:p>
    <w:p>
      <w:pPr>
        <w:spacing w:after="80"/>
      </w:pPr>
      <w:r>
        <w:rPr>
          <w:b/>
          <w:bCs/>
        </w:rPr>
        <w:t xml:space="preserve">Quorum for Committee action: [NUMBER] members: </w:t>
      </w:r>
      <w:r>
        <w:t xml:space="preserve">_______________________________________</w:t>
      </w:r>
    </w:p>
    <w:p>
      <w:pPr>
        <w:spacing w:after="80"/>
      </w:pPr>
      <w:r>
        <w:rPr>
          <w:b/>
          <w:bCs/>
        </w:rPr>
        <w:t xml:space="preserve">How the Committee may act between meetings (e.g., email or written consent): [SPECIFY]: </w:t>
      </w:r>
      <w:r>
        <w:t xml:space="preserve">_______________________________________</w:t>
      </w:r>
    </w:p>
    <w:p>
      <w:pPr>
        <w:spacing w:after="80"/>
      </w:pPr>
      <w:r>
        <w:rPr>
          <w:b/>
          <w:bCs/>
        </w:rPr>
        <w:t xml:space="preserve">To whom the Committee reports and how decisions are recorded: [SPECIFY — e.g., minutes filed with the Board]: </w:t>
      </w:r>
      <w:r>
        <w:t xml:space="preserve">_______________________________________</w:t>
      </w:r>
    </w:p>
    <w:p>
      <w:pPr>
        <w:spacing w:after="80"/>
      </w:pPr>
      <w:r>
        <w:rPr>
          <w:b/>
          <w:bCs/>
        </w:rPr>
        <w:t xml:space="preserve">Committee members must comply with the Organization's Conflict of Interest Policy: [YES / NO]: </w:t>
      </w:r>
      <w:r>
        <w:t xml:space="preserve">_______________________________________</w:t>
      </w:r>
    </w:p>
    <w:p>
      <w:pPr>
        <w:spacing w:after="80" w:before="200"/>
      </w:pPr>
      <w:r>
        <w:rPr>
          <w:b/>
          <w:bCs/>
          <w:color w:val="2E1B4E"/>
          <w:sz w:val="26"/>
          <w:szCs w:val="26"/>
        </w:rPr>
        <w:t xml:space="preserve">9. Review and Amendment</w:t>
      </w:r>
    </w:p>
    <w:p>
      <w:pPr>
        <w:spacing w:after="100"/>
      </w:pPr>
      <w:r>
        <w:t xml:space="preserve">The Board of Directors will review this Policy at least every </w:t>
      </w:r>
      <w:r>
        <w:rPr>
          <w:b/>
          <w:bCs/>
          <w:color w:val="7851A9"/>
        </w:rPr>
        <w:t xml:space="preserve">[REVIEW CADENCE — e.g., TWO YEARS]</w:t>
      </w:r>
      <w:r>
        <w:t xml:space="preserve"> and more often if tax law, the Organization's circumstances, or its gift activity changes materially. The Board may amend this Policy at any time by </w:t>
      </w:r>
      <w:r>
        <w:rPr>
          <w:b/>
          <w:bCs/>
          <w:color w:val="7851A9"/>
        </w:rPr>
        <w:t xml:space="preserve">[VOTE STANDARD — e.g., A MAJORITY VOTE OF DIRECTORS PRESENT AT A DULY CALLED MEETING]</w:t>
      </w:r>
      <w:r>
        <w:t xml:space="preserve">. Staff and the Committee will administer gifts in accordance with the most recently adopted version of this Policy.</w:t>
      </w:r>
    </w:p>
    <w:p>
      <w:pPr>
        <w:spacing w:after="80" w:before="200"/>
      </w:pPr>
      <w:r>
        <w:rPr>
          <w:b/>
          <w:bCs/>
          <w:color w:val="2E1B4E"/>
          <w:sz w:val="26"/>
          <w:szCs w:val="26"/>
        </w:rPr>
        <w:t xml:space="preserve">10. Adoption</w:t>
      </w:r>
    </w:p>
    <w:p>
      <w:pPr>
        <w:spacing w:after="100"/>
      </w:pPr>
      <w:r>
        <w:t xml:space="preserve">This Gift Acceptance Policy was reviewed and adopted by the Board of Directors of </w:t>
      </w:r>
      <w:r>
        <w:rPr>
          <w:b/>
          <w:bCs/>
          <w:color w:val="7851A9"/>
        </w:rPr>
        <w:t xml:space="preserve">[ORGANIZATION NAME]</w:t>
      </w:r>
      <w:r>
        <w:t xml:space="preserve"> and is effective as of the date set forth below.</w:t>
      </w:r>
    </w:p>
    <w:p>
      <w:pPr>
        <w:spacing w:before="160"/>
      </w:pPr>
    </w:p>
    <w:p>
      <w:pPr>
        <w:spacing w:after="20"/>
      </w:pPr>
      <w:r>
        <w:t xml:space="preserve">______________________________    Date: ____________</w:t>
      </w:r>
    </w:p>
    <w:p>
      <w:pPr>
        <w:spacing w:after="140"/>
      </w:pPr>
      <w:r>
        <w:rPr>
          <w:color w:val="6B6480"/>
          <w:sz w:val="18"/>
          <w:szCs w:val="18"/>
        </w:rPr>
        <w:t xml:space="preserve">Adopted by resolution of the Board of Directors on: ______________________ (date)</w:t>
      </w:r>
    </w:p>
    <w:p>
      <w:pPr>
        <w:spacing w:after="20"/>
      </w:pPr>
      <w:r>
        <w:t xml:space="preserve">______________________________    Date: ____________</w:t>
      </w:r>
    </w:p>
    <w:p>
      <w:pPr>
        <w:spacing w:after="140"/>
      </w:pPr>
      <w:r>
        <w:rPr>
          <w:color w:val="6B6480"/>
          <w:sz w:val="18"/>
          <w:szCs w:val="18"/>
        </w:rPr>
        <w:t xml:space="preserve">Signature of Board Chair / President: ______________________________________</w:t>
      </w:r>
    </w:p>
    <w:p>
      <w:pPr>
        <w:spacing w:after="20"/>
      </w:pPr>
      <w:r>
        <w:t xml:space="preserve">______________________________    Date: ____________</w:t>
      </w:r>
    </w:p>
    <w:p>
      <w:pPr>
        <w:spacing w:after="140"/>
      </w:pPr>
      <w:r>
        <w:rPr>
          <w:color w:val="6B6480"/>
          <w:sz w:val="18"/>
          <w:szCs w:val="18"/>
        </w:rPr>
        <w:t xml:space="preserve">Printed name: [NAME] — Board Chair / President</w:t>
      </w:r>
    </w:p>
    <w:p>
      <w:pPr>
        <w:spacing w:after="20"/>
      </w:pPr>
      <w:r>
        <w:t xml:space="preserve">______________________________    Date: ____________</w:t>
      </w:r>
    </w:p>
    <w:p>
      <w:pPr>
        <w:spacing w:after="140"/>
      </w:pPr>
      <w:r>
        <w:rPr>
          <w:color w:val="6B6480"/>
          <w:sz w:val="18"/>
          <w:szCs w:val="18"/>
        </w:rPr>
        <w:t xml:space="preserve">Signature of Board Secretary: ______________________________________________</w:t>
      </w:r>
    </w:p>
    <w:p>
      <w:pPr>
        <w:spacing w:after="20"/>
      </w:pPr>
      <w:r>
        <w:t xml:space="preserve">______________________________    Date: ____________</w:t>
      </w:r>
    </w:p>
    <w:p>
      <w:pPr>
        <w:spacing w:after="140"/>
      </w:pPr>
      <w:r>
        <w:rPr>
          <w:color w:val="6B6480"/>
          <w:sz w:val="18"/>
          <w:szCs w:val="18"/>
        </w:rPr>
        <w:t xml:space="preserve">Printed name: [NAME] — Board Secretary</w:t>
      </w:r>
    </w:p>
    <w:p>
      <w:pPr>
        <w:spacing w:after="20"/>
      </w:pPr>
      <w:r>
        <w:t xml:space="preserve">______________________________    Date: ____________</w:t>
      </w:r>
    </w:p>
    <w:p>
      <w:pPr>
        <w:spacing w:after="140"/>
      </w:pPr>
      <w:r>
        <w:rPr>
          <w:color w:val="6B6480"/>
          <w:sz w:val="18"/>
          <w:szCs w:val="18"/>
        </w:rPr>
        <w:t xml:space="preserve">Next scheduled review date: ______________________</w:t>
      </w:r>
    </w:p>
    <w:p>
      <w:pPr>
        <w:spacing w:after="100" w:before="80"/>
      </w:pPr>
      <w:r>
        <w:rPr>
          <w:i/>
          <w:iCs/>
          <w:color w:val="6B6480"/>
          <w:sz w:val="18"/>
          <w:szCs w:val="18"/>
        </w:rPr>
        <w:t xml:space="preserve">Reminder: This template is a starting point, not legal or tax advice. IRS thresholds and form requirements (including the $250 contemporaneous acknowledgment rule, the $75 quid pro quo disclosure, the $500 Form 8283 threshold, the $5,000 qualified-appraisal threshold, and Form 8282 disposition timing) can change and depend on your specific facts. Separately, your organization must keep its tax-exempt status in good standing: most 501(c)(3) organizations must file an annual return in the Form 990 series — generally Form 990-N (e-Postcard) if gross receipts are normally $50,000 or less, otherwise Form 990-EZ or Form 990 — by the 15th day of the 5th month after the end of the tax year (for example, May 15 for a calendar-year filer), with a single automatic 6-month extension available by filing Form 8868. An organization that fails to file a required annual return or notice for three consecutive years automatically loses its tax-exempt status by operation of law. Before your board adopts this Policy, have it reviewed by a qualified nonprofit attorney and a CPA, and confirm current IRS thresholds and any state-law requirements that apply to planned gifts, charitable gift annuities, and the modification of restricted gifts in [STATE].</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2026-06-17T15:01:02.861Z</dcterms:created>
  <dcterms:modified xsi:type="dcterms:W3CDTF">2026-06-17T15:01:02.872Z</dcterms:modified>
</cp:coreProperties>
</file>

<file path=docProps/custom.xml><?xml version="1.0" encoding="utf-8"?>
<Properties xmlns="http://schemas.openxmlformats.org/officeDocument/2006/custom-properties" xmlns:vt="http://schemas.openxmlformats.org/officeDocument/2006/docPropsVTypes"/>
</file>