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b/>
          <w:color w:val="8A6A2E"/>
          <w:sz w:val="16"/>
        </w:rPr>
        <w:t>GOOD CIRCLES  ·  NONPROFIT RESOURCE CENTER</w:t>
      </w:r>
    </w:p>
    <w:p>
      <w:r>
        <w:rPr>
          <w:b/>
          <w:color w:val="2E1B4E"/>
          <w:sz w:val="40"/>
        </w:rPr>
        <w:t>Nonprofit Bylaws Template</w:t>
      </w:r>
    </w:p>
    <w:p>
      <w:r>
        <w:rPr>
          <w:i/>
          <w:color w:val="6B6577"/>
          <w:sz w:val="21"/>
        </w:rPr>
        <w:t>Adapt every bracketed field. Have counsel review before adoption. Replace guidance notes (italic) before finalizing.</w:t>
      </w:r>
    </w:p>
    <w:p>
      <w:pPr>
        <w:pBdr>
          <w:bottom w:val="single" w:sz="12" w:space="1" w:color="C2A76F"/>
        </w:pBdr>
      </w:pPr>
    </w:p>
    <w:p>
      <w:r>
        <w:rPr>
          <w:i/>
          <w:color w:val="6B6577"/>
          <w:sz w:val="19"/>
        </w:rPr>
        <w:t>These bylaws are a starting framework for a nonprofit corporation seeking or holding 501(c)(3) status. State law and your articles of incorporation control; consult an attorney.</w:t>
      </w:r>
    </w:p>
    <w:p>
      <w:pPr>
        <w:spacing w:before="200" w:after="60"/>
      </w:pPr>
      <w:r>
        <w:rPr>
          <w:b/>
          <w:color w:val="7851A9"/>
          <w:sz w:val="26"/>
        </w:rPr>
        <w:t>Article I — Name &amp; Purpose</w:t>
      </w:r>
    </w:p>
    <w:p>
      <w:r>
        <w:t>The name of the organization is [Organization Name]. The organization is organized exclusively for charitable, educational, [and/or religious/scientific] purposes under Section 501(c)(3) of the Internal Revenue Code. Its specific purpose is: [state your mission].</w:t>
      </w:r>
    </w:p>
    <w:p>
      <w:pPr>
        <w:spacing w:before="200" w:after="60"/>
      </w:pPr>
      <w:r>
        <w:rPr>
          <w:b/>
          <w:color w:val="7851A9"/>
          <w:sz w:val="26"/>
        </w:rPr>
        <w:t>Article II — Offices</w:t>
      </w:r>
    </w:p>
    <w:p>
      <w:r>
        <w:t>The principal office is located in [County, State]. The organization may have other offices as the Board determines.</w:t>
      </w:r>
    </w:p>
    <w:p>
      <w:pPr>
        <w:spacing w:before="200" w:after="60"/>
      </w:pPr>
      <w:r>
        <w:rPr>
          <w:b/>
          <w:color w:val="7851A9"/>
          <w:sz w:val="26"/>
        </w:rPr>
        <w:t>Article III — Members</w:t>
      </w:r>
    </w:p>
    <w:p>
      <w:r>
        <w:t>[Option A: The organization shall have no members. / Option B: Membership classes, rights, dues, and voting are as follows: ____.]</w:t>
      </w:r>
    </w:p>
    <w:p>
      <w:pPr>
        <w:spacing w:before="200" w:after="60"/>
      </w:pPr>
      <w:r>
        <w:rPr>
          <w:b/>
          <w:color w:val="7851A9"/>
          <w:sz w:val="26"/>
        </w:rPr>
        <w:t>Article IV — Board of Directors</w:t>
      </w:r>
    </w:p>
    <w:p>
      <w:r>
        <w:t>The affairs of the organization are managed by its Board of Directors. The Board shall have no fewer than [3] and no more than [15] directors. Directors serve [2]-year terms and may serve [2] consecutive terms. A majority of directors in office constitutes a quorum.</w:t>
      </w:r>
    </w:p>
    <w:p>
      <w:pPr>
        <w:spacing w:before="200" w:after="60"/>
      </w:pPr>
      <w:r>
        <w:rPr>
          <w:b/>
          <w:color w:val="7851A9"/>
          <w:sz w:val="26"/>
        </w:rPr>
        <w:t>Article V — Officers</w:t>
      </w:r>
    </w:p>
    <w:p>
      <w:r>
        <w:t>The officers are a President/Chair, [Vice-Chair], Secretary, and Treasurer, elected by the Board. Duties are as customarily associated with each office and as assigned by the Board.</w:t>
      </w:r>
    </w:p>
    <w:p>
      <w:pPr>
        <w:spacing w:before="200" w:after="60"/>
      </w:pPr>
      <w:r>
        <w:rPr>
          <w:b/>
          <w:color w:val="7851A9"/>
          <w:sz w:val="26"/>
        </w:rPr>
        <w:t>Article VI — Meetings</w:t>
      </w:r>
    </w:p>
    <w:p>
      <w:r>
        <w:t>The Board shall hold at least [4] regular meetings per year. Notice of meetings shall be given at least [7] days in advance. Directors may participate by remote communication. Action may be taken by unanimous written consent.</w:t>
      </w:r>
    </w:p>
    <w:p>
      <w:pPr>
        <w:spacing w:before="200" w:after="60"/>
      </w:pPr>
      <w:r>
        <w:rPr>
          <w:b/>
          <w:color w:val="7851A9"/>
          <w:sz w:val="26"/>
        </w:rPr>
        <w:t>Article VII — Committees</w:t>
      </w:r>
    </w:p>
    <w:p>
      <w:r>
        <w:t>The Board may create committees, including a standing [Finance/Audit] Committee. Committees act within authority delegated by the Board.</w:t>
      </w:r>
    </w:p>
    <w:p>
      <w:pPr>
        <w:spacing w:before="200" w:after="60"/>
      </w:pPr>
      <w:r>
        <w:rPr>
          <w:b/>
          <w:color w:val="7851A9"/>
          <w:sz w:val="26"/>
        </w:rPr>
        <w:t>Article VIII — Conflicts of Interest</w:t>
      </w:r>
    </w:p>
    <w:p>
      <w:r>
        <w:t>The organization shall adopt and annually administer a written Conflict of Interest Policy. Interested directors must disclose conflicts and recuse themselves from related votes.</w:t>
      </w:r>
    </w:p>
    <w:p>
      <w:pPr>
        <w:spacing w:before="200" w:after="60"/>
      </w:pPr>
      <w:r>
        <w:rPr>
          <w:b/>
          <w:color w:val="7851A9"/>
          <w:sz w:val="26"/>
        </w:rPr>
        <w:t>Article IX — Indemnification</w:t>
      </w:r>
    </w:p>
    <w:p>
      <w:r>
        <w:t>The organization shall indemnify its directors and officers to the fullest extent permitted by [State] law.</w:t>
      </w:r>
    </w:p>
    <w:p>
      <w:pPr>
        <w:spacing w:before="200" w:after="60"/>
      </w:pPr>
      <w:r>
        <w:rPr>
          <w:b/>
          <w:color w:val="7851A9"/>
          <w:sz w:val="26"/>
        </w:rPr>
        <w:t>Article X — Fiscal Year</w:t>
      </w:r>
    </w:p>
    <w:p>
      <w:r>
        <w:t>The fiscal year ends on [December 31].</w:t>
      </w:r>
    </w:p>
    <w:p>
      <w:pPr>
        <w:spacing w:before="200" w:after="60"/>
      </w:pPr>
      <w:r>
        <w:rPr>
          <w:b/>
          <w:color w:val="7851A9"/>
          <w:sz w:val="26"/>
        </w:rPr>
        <w:t>Article XI — Amendments</w:t>
      </w:r>
    </w:p>
    <w:p>
      <w:r>
        <w:t>These bylaws may be amended by a [two-thirds] vote of the directors then in office at any meeting for which notice of the proposed amendment was given.</w:t>
      </w:r>
    </w:p>
    <w:p>
      <w:pPr>
        <w:spacing w:before="200" w:after="60"/>
      </w:pPr>
      <w:r>
        <w:rPr>
          <w:b/>
          <w:color w:val="7851A9"/>
          <w:sz w:val="26"/>
        </w:rPr>
        <w:t>Article XII — Dissolution</w:t>
      </w:r>
    </w:p>
    <w:p>
      <w:r>
        <w:t>Upon dissolution, after paying or providing for liabilities, remaining assets shall be distributed for one or more exempt purposes under Section 501(c)(3), or to a government entity for a public purpose.</w:t>
      </w:r>
    </w:p>
    <w:p/>
    <w:p>
      <w:r>
        <w:rPr>
          <w:b/>
        </w:rPr>
        <w:t xml:space="preserve">Adopted on (date): </w:t>
      </w:r>
      <w:r>
        <w:t>_________________________________________</w:t>
      </w:r>
    </w:p>
    <w:p>
      <w:r>
        <w:rPr>
          <w:b/>
        </w:rPr>
        <w:t xml:space="preserve">Secretary signature: </w:t>
      </w:r>
      <w:r>
        <w:t>_________________________________________</w:t>
      </w:r>
    </w:p>
    <w:p/>
    <w:p>
      <w:r>
        <w:rPr>
          <w:i/>
          <w:color w:val="6B6577"/>
          <w:sz w:val="17"/>
        </w:rPr>
        <w:t>A free template from Good Circles  ·  goodcircles.org/resources  ·  Build a recurring funding base — no fundraising required.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 w:ascii="Arial" w:hAnsi="Arial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 w:ascii="Arial" w:hAnsi="Arial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 w:ascii="Arial" w:hAnsi="Arial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